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pPr>
      <w:r>
        <w:rPr>
          <w:rFonts w:ascii="Inter" w:hAnsi="Inter"/>
          <w:b/>
          <w:color w:val="141C2C"/>
          <w:sz w:val="56"/>
        </w:rPr>
        <w:t>LOGIMARKET</w:t>
      </w:r>
      <w:r>
        <w:rPr>
          <w:rFonts w:ascii="Inter" w:hAnsi="Inter"/>
          <w:b/>
          <w:color w:val="147487"/>
          <w:sz w:val="56"/>
        </w:rPr>
        <w:t>.EU</w:t>
      </w:r>
    </w:p>
    <w:p>
      <w:r>
        <w:rPr>
          <w:rFonts w:ascii="Inter" w:hAnsi="Inter"/>
          <w:b/>
          <w:color w:val="147487"/>
          <w:sz w:val="17"/>
        </w:rPr>
        <w:t>CORRECTION &amp; CONFIRMATION MEMO R2.1</w:t>
      </w:r>
    </w:p>
    <w:p>
      <w:pPr>
        <w:pStyle w:val="Title"/>
      </w:pPr>
      <w:r>
        <w:t>LogiMarket Marketplace B2B - formalne pytania do kancelarii, DPO i doradcy podatkowego</w:t>
      </w:r>
    </w:p>
    <w:p>
      <w:pPr>
        <w:spacing w:after="280"/>
      </w:pPr>
      <w:r>
        <w:rPr>
          <w:rFonts w:ascii="Inter" w:hAnsi="Inter"/>
          <w:b w:val="0"/>
          <w:color w:val="5B6472"/>
          <w:sz w:val="22"/>
        </w:rPr>
        <w:t>Skorygowana wersja po Owner/PM review; gotowa do zewnętrznej weryfikacji</w:t>
      </w:r>
    </w:p>
    <w:tbl>
      <w:tblPr>
        <w:tblW w:type="auto" w:w="0"/>
        <w:jc w:val="left"/>
        <w:tblLayout w:type="fixed"/>
        <w:tblLook w:firstColumn="1" w:firstRow="1" w:lastColumn="0" w:lastRow="0" w:noHBand="0" w:noVBand="1" w:val="04A0"/>
      </w:tblPr>
      <w:tblGrid>
        <w:gridCol w:w="5100"/>
        <w:gridCol w:w="5100"/>
      </w:tblGrid>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141C2C"/>
          </w:tcPr>
          <w:p>
            <w:r>
              <w:rPr>
                <w:rFonts w:ascii="Inter" w:hAnsi="Inter"/>
                <w:b/>
                <w:color w:val="FFFFFF"/>
                <w:sz w:val="17"/>
              </w:rPr>
              <w:t>Status</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DO FORMALNEJ WERYFIKACJI</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141C2C"/>
          </w:tcPr>
          <w:p>
            <w:r>
              <w:rPr>
                <w:rFonts w:ascii="Inter" w:hAnsi="Inter"/>
                <w:b/>
                <w:color w:val="FFFFFF"/>
                <w:sz w:val="17"/>
              </w:rPr>
              <w:t>Projekt</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LogiMarket Marketplace B2B</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141C2C"/>
          </w:tcPr>
          <w:p>
            <w:r>
              <w:rPr>
                <w:rFonts w:ascii="Inter" w:hAnsi="Inter"/>
                <w:b/>
                <w:color w:val="FFFFFF"/>
                <w:sz w:val="17"/>
              </w:rPr>
              <w:t>Wersja</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R2.1 / 2026-08-09</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141C2C"/>
          </w:tcPr>
          <w:p>
            <w:r>
              <w:rPr>
                <w:rFonts w:ascii="Inter" w:hAnsi="Inter"/>
                <w:b/>
                <w:color w:val="FFFFFF"/>
                <w:sz w:val="17"/>
              </w:rPr>
              <w:t>Baseline</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main @ cd1de62625f6a95bb0ed8e651ab40b3544e41a5d</w:t>
            </w:r>
          </w:p>
        </w:tc>
      </w:tr>
    </w:tbl>
    <w:p/>
    <w:tbl>
      <w:tblPr>
        <w:tblW w:type="auto" w:w="0"/>
        <w:tblLook w:firstColumn="1" w:firstRow="1" w:lastColumn="0" w:lastRow="0" w:noHBand="0" w:noVBand="1" w:val="04A0"/>
      </w:tblPr>
      <w:tblGrid>
        <w:gridCol w:w="10200"/>
      </w:tblGrid>
      <w:tr>
        <w:tc>
          <w:tcPr>
            <w:tcW w:type="dxa" w:w="10200"/>
            <w:shd w:fill="F0F0F0"/>
            <w:tcBorders>
              <w:top w:val="single" w:sz="8" w:color="147487"/>
              <w:left w:val="single" w:sz="8" w:color="147487"/>
              <w:bottom w:val="single" w:sz="8" w:color="147487"/>
              <w:right w:val="single" w:sz="8" w:color="147487"/>
              <w:insideH w:val="single" w:sz="8" w:color="147487"/>
              <w:insideV w:val="single" w:sz="8" w:color="147487"/>
            </w:tcBorders>
            <w:tcMar>
              <w:top w:w="120" w:type="dxa"/>
              <w:start w:w="130" w:type="dxa"/>
              <w:bottom w:w="120" w:type="dxa"/>
              <w:end w:w="130" w:type="dxa"/>
            </w:tcMar>
          </w:tcPr>
          <w:p>
            <w:r>
              <w:rPr>
                <w:rFonts w:ascii="Inter" w:hAnsi="Inter"/>
                <w:b/>
                <w:color w:val="141C2C"/>
                <w:sz w:val="18"/>
              </w:rPr>
              <w:t xml:space="preserve">Zastrzeżenie: </w:t>
            </w:r>
            <w:r>
              <w:rPr>
                <w:rFonts w:ascii="Inter" w:hAnsi="Inter"/>
                <w:b w:val="0"/>
                <w:color w:val="141C2C"/>
                <w:sz w:val="18"/>
              </w:rPr>
              <w:t>dokument porządkuje pytania i konsekwencje projektowe. Nie stanowi opinii prawnej i nie zamyka żadnej bramki bez odpowiedzi autoryzowanego reviewera.</w:t>
            </w:r>
          </w:p>
        </w:tc>
      </w:tr>
    </w:tbl>
    <w:p>
      <w:r>
        <w:br w:type="page"/>
      </w:r>
    </w:p>
    <w:p>
      <w:pPr>
        <w:pStyle w:val="Heading1"/>
      </w:pPr>
      <w:r>
        <w:t>0. Cel i kontekst</w:t>
      </w:r>
    </w:p>
    <w:p>
      <w:r>
        <w:t>LogiMarket jest rozwijany jako marketplace B2B dla rynku przemysłowego i logistycznego. Dokument nie zmienia zatwierdzonych decyzji biznesowych Q1-Q8; koryguje błędy z roboczej analizy i wskazuje pytania, które muszą zostać formalnie rozstrzygnięte przed odblokowaniem schematu.</w:t>
      </w:r>
    </w:p>
    <w:tbl>
      <w:tblPr>
        <w:tblW w:type="auto" w:w="0"/>
        <w:jc w:val="left"/>
        <w:tblLayout w:type="fixed"/>
        <w:tblLook w:firstColumn="1" w:firstRow="1" w:lastColumn="0" w:lastRow="0" w:noHBand="0" w:noVBand="1" w:val="04A0"/>
      </w:tblPr>
      <w:tblGrid>
        <w:gridCol w:w="5100"/>
        <w:gridCol w:w="5100"/>
      </w:tblGrid>
      <w:tr>
        <w:tc>
          <w:tcPr>
            <w:tcW w:type="dxa" w:w="51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Pole</w:t>
            </w:r>
          </w:p>
        </w:tc>
        <w:tc>
          <w:tcPr>
            <w:tcW w:type="dxa" w:w="51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Treść</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Model biznesowy</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Partner = zamierzony sprzedawca kontraktowy; LogiMarket = platforma/pośrednik technologiczno-handlowy.</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Buyer model</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B2B_ONLY. E-commerce MVP: Polska. RFQ: Polska + UE.</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E-commerce target</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Buyer order intent -&gt; seller explicit accept/reject -&gt; po spełnieniu warunków capture płatności.</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RFQ target</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Wycena Partnera ma być biznesowo niewiążąca i służyć negocjacjom, o ile kancelaria zatwierdzi właściwą konstrukcję i komunikaty.</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Payments</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Brak self-custody i brak escrow prowadzonego przez LogiMarket. Konkretny PSP/model rozliczeń nie został jeszcze wybrany.</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Readiness</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LM_MARKETPLACE_SCHEMA_56B1_READY=NO.</w:t>
            </w:r>
          </w:p>
        </w:tc>
      </w:tr>
    </w:tbl>
    <w:p/>
    <w:p>
      <w:pPr>
        <w:pStyle w:val="Heading1"/>
      </w:pPr>
      <w:r>
        <w:t>1. LEG-MKT-01 - właściwa kwalifikacja modelu pośrednictwa</w:t>
      </w:r>
    </w:p>
    <w:tbl>
      <w:tblPr>
        <w:tblW w:type="auto" w:w="0"/>
        <w:tblLook w:firstColumn="1" w:firstRow="1" w:lastColumn="0" w:lastRow="0" w:noHBand="0" w:noVBand="1" w:val="04A0"/>
      </w:tblPr>
      <w:tblGrid>
        <w:gridCol w:w="10200"/>
      </w:tblGrid>
      <w:tr>
        <w:tc>
          <w:tcPr>
            <w:tcW w:type="dxa" w:w="10200"/>
            <w:shd w:fill="FFF6E5"/>
            <w:tcBorders>
              <w:top w:val="single" w:sz="7" w:color="147487"/>
              <w:left w:val="single" w:sz="7" w:color="147487"/>
              <w:bottom w:val="single" w:sz="7" w:color="147487"/>
              <w:right w:val="single" w:sz="7" w:color="147487"/>
              <w:insideH w:val="single" w:sz="7" w:color="147487"/>
              <w:insideV w:val="single" w:sz="7" w:color="147487"/>
            </w:tcBorders>
            <w:tcMar>
              <w:top w:w="120" w:type="dxa"/>
              <w:start w:w="130" w:type="dxa"/>
              <w:bottom w:w="120" w:type="dxa"/>
              <w:end w:w="130" w:type="dxa"/>
            </w:tcMar>
          </w:tcPr>
          <w:p>
            <w:r>
              <w:rPr>
                <w:rFonts w:ascii="Inter" w:hAnsi="Inter"/>
                <w:b/>
                <w:color w:val="141C2C"/>
                <w:sz w:val="18"/>
              </w:rPr>
              <w:t>Korekta</w:t>
              <w:br/>
            </w:r>
            <w:r>
              <w:rPr>
                <w:rFonts w:ascii="Inter" w:hAnsi="Inter"/>
                <w:b w:val="0"/>
                <w:color w:val="141C2C"/>
                <w:sz w:val="18"/>
              </w:rPr>
              <w:t>W roboczej analizie art. 540 KC został błędnie użyty jako podstawa pośrednictwa. Prosimy kancelarię o samodzielne wskazanie właściwej konstrukcji prawnej i przepisów dla opisanego modelu.</w:t>
            </w:r>
          </w:p>
        </w:tc>
      </w:tr>
    </w:tbl>
    <w:p/>
    <w:p>
      <w:pPr>
        <w:pStyle w:val="Heading2"/>
      </w:pPr>
      <w:r>
        <w:t>Pytanie do kancelarii</w:t>
      </w:r>
    </w:p>
    <w:p>
      <w:r>
        <w:t>Jaka jest właściwa kwalifikacja prawna modelu, w którym Partner pozostaje sprzedawcą, a LogiMarket świadczy usługę marketplace, obsługuje prezentację ofert, RFQ, checkout i komunikację, pobiera success fee, ale nie nabywa towaru, nie przejmuje ryzyka towarowego, nie wystawia faktury za towar i nie przyjmuje środków na własny rachunek?</w:t>
      </w:r>
    </w:p>
    <w:p>
      <w:pPr>
        <w:pStyle w:val="ListBullet"/>
      </w:pPr>
      <w:r>
        <w:rPr>
          <w:rFonts w:ascii="Inter" w:hAnsi="Inter"/>
          <w:b w:val="0"/>
          <w:color w:val="141C2C"/>
          <w:sz w:val="19"/>
        </w:rPr>
        <w:t>Prosimy wskazać konstrukcję/kwalifikację bez założenia przez LogiMarket konkretnego typu umowy.</w:t>
      </w:r>
    </w:p>
    <w:p>
      <w:pPr>
        <w:pStyle w:val="ListBullet"/>
      </w:pPr>
      <w:r>
        <w:rPr>
          <w:rFonts w:ascii="Inter" w:hAnsi="Inter"/>
          <w:b w:val="0"/>
          <w:color w:val="141C2C"/>
          <w:sz w:val="19"/>
        </w:rPr>
        <w:t>Prosimy wskazać warunki zachowania roli pośrednika oraz zachowania Partnera jako sprzedawcy.</w:t>
      </w:r>
    </w:p>
    <w:p>
      <w:pPr>
        <w:pStyle w:val="ListBullet"/>
      </w:pPr>
      <w:r>
        <w:rPr>
          <w:rFonts w:ascii="Inter" w:hAnsi="Inter"/>
          <w:b w:val="0"/>
          <w:color w:val="141C2C"/>
          <w:sz w:val="19"/>
        </w:rPr>
        <w:t>Prosimy wskazać wymagane zapisy regulaminu i umowy partnerskiej oraz niedopuszczalne/mylące komunikaty UI.</w:t>
      </w:r>
    </w:p>
    <w:p>
      <w:pPr>
        <w:pStyle w:val="ListBullet"/>
      </w:pPr>
      <w:r>
        <w:rPr>
          <w:rFonts w:ascii="Inter" w:hAnsi="Inter"/>
          <w:b w:val="0"/>
          <w:color w:val="141C2C"/>
          <w:sz w:val="19"/>
        </w:rPr>
        <w:t>Prosimy wskazać czynności, które istotnie zmieniałyby kwalifikację modelu, np. własna sprzedaż, faktura towarowa, self-custody/escrow, działanie we własnym imieniu.</w:t>
      </w:r>
    </w:p>
    <w:tbl>
      <w:tblPr>
        <w:tblW w:type="auto" w:w="0"/>
        <w:tblLook w:firstColumn="1" w:firstRow="1" w:lastColumn="0" w:lastRow="0" w:noHBand="0" w:noVBand="1" w:val="04A0"/>
      </w:tblPr>
      <w:tblGrid>
        <w:gridCol w:w="10200"/>
      </w:tblGrid>
      <w:tr>
        <w:tc>
          <w:tcPr>
            <w:tcW w:type="dxa" w:w="10200"/>
            <w:shd w:fill="F0F0F0"/>
            <w:tcBorders>
              <w:top w:val="single" w:sz="7" w:color="147487"/>
              <w:left w:val="single" w:sz="7" w:color="147487"/>
              <w:bottom w:val="single" w:sz="7" w:color="147487"/>
              <w:right w:val="single" w:sz="7" w:color="147487"/>
              <w:insideH w:val="single" w:sz="7" w:color="147487"/>
              <w:insideV w:val="single" w:sz="7" w:color="147487"/>
            </w:tcBorders>
            <w:tcMar>
              <w:top w:w="120" w:type="dxa"/>
              <w:start w:w="130" w:type="dxa"/>
              <w:bottom w:w="120" w:type="dxa"/>
              <w:end w:w="130" w:type="dxa"/>
            </w:tcMar>
          </w:tcPr>
          <w:p>
            <w:r>
              <w:rPr>
                <w:rFonts w:ascii="Inter" w:hAnsi="Inter"/>
                <w:b/>
                <w:color w:val="141C2C"/>
                <w:sz w:val="18"/>
              </w:rPr>
              <w:t>Proponowany status</w:t>
              <w:br/>
            </w:r>
            <w:r>
              <w:rPr>
                <w:rFonts w:ascii="Inter" w:hAnsi="Inter"/>
                <w:b w:val="0"/>
                <w:color w:val="141C2C"/>
                <w:sz w:val="18"/>
              </w:rPr>
              <w:t>MORE_FACTS_REQUIRED / formalna kwalifikacja przez kancelarię.</w:t>
            </w:r>
          </w:p>
        </w:tc>
      </w:tr>
    </w:tbl>
    <w:p/>
    <w:p>
      <w:pPr>
        <w:pStyle w:val="Heading1"/>
      </w:pPr>
      <w:r>
        <w:t>2. LEG-MKT-02 - moment zawarcia umowy: e-commerce i RFQ</w:t>
      </w:r>
    </w:p>
    <w:p>
      <w:r>
        <w:t>Mapa E1-E9 i R1-R8 pozostaje design hypothesis. Prosimy potwierdzić skutki prawne zdarzeń po rozstrzygnięciu LEG-MKT-01.</w:t>
      </w:r>
    </w:p>
    <w:p>
      <w:pPr>
        <w:pStyle w:val="Heading2"/>
      </w:pPr>
      <w:r>
        <w:t>E-commerce</w:t>
      </w:r>
    </w:p>
    <w:p>
      <w:pPr>
        <w:pStyle w:val="ListBullet"/>
      </w:pPr>
      <w:r>
        <w:rPr>
          <w:rFonts w:ascii="Inter" w:hAnsi="Inter"/>
          <w:b w:val="0"/>
          <w:color w:val="141C2C"/>
          <w:sz w:val="19"/>
        </w:rPr>
        <w:t>E2 - submit checkout: czy jest ofertą kupującego i jakie elementy musi zawierać?</w:t>
      </w:r>
    </w:p>
    <w:p>
      <w:pPr>
        <w:pStyle w:val="ListBullet"/>
      </w:pPr>
      <w:r>
        <w:rPr>
          <w:rFonts w:ascii="Inter" w:hAnsi="Inter"/>
          <w:b w:val="0"/>
          <w:color w:val="141C2C"/>
          <w:sz w:val="19"/>
        </w:rPr>
        <w:t>E3 - techniczne potwierdzenie otrzymania: jaki ma skutek i jak powinien brzmieć komunikat?</w:t>
      </w:r>
    </w:p>
    <w:p>
      <w:pPr>
        <w:pStyle w:val="ListBullet"/>
      </w:pPr>
      <w:r>
        <w:rPr>
          <w:rFonts w:ascii="Inter" w:hAnsi="Inter"/>
          <w:b w:val="0"/>
          <w:color w:val="141C2C"/>
          <w:sz w:val="19"/>
        </w:rPr>
        <w:t>E6 - routing do Partnera: czy pozostaje czynnością techniczną?</w:t>
      </w:r>
    </w:p>
    <w:p>
      <w:pPr>
        <w:pStyle w:val="ListBullet"/>
      </w:pPr>
      <w:r>
        <w:rPr>
          <w:rFonts w:ascii="Inter" w:hAnsi="Inter"/>
          <w:b w:val="0"/>
          <w:color w:val="141C2C"/>
          <w:sz w:val="19"/>
        </w:rPr>
        <w:t>E7 - jawna akceptacja Partnera: czy i kiedy powstaje umowa; jaki moment należy rejestrować dowodowo?</w:t>
      </w:r>
    </w:p>
    <w:p>
      <w:pPr>
        <w:pStyle w:val="ListBullet"/>
      </w:pPr>
      <w:r>
        <w:rPr>
          <w:rFonts w:ascii="Inter" w:hAnsi="Inter"/>
          <w:b w:val="0"/>
          <w:color w:val="141C2C"/>
          <w:sz w:val="19"/>
        </w:rPr>
        <w:t>E8 - czy realizacja/wysyłka bez uprzedniej jawnej akceptacji może wywołać niezamierzony skutek kontraktowy?</w:t>
      </w:r>
    </w:p>
    <w:p>
      <w:pPr>
        <w:pStyle w:val="ListBullet"/>
      </w:pPr>
      <w:r>
        <w:rPr>
          <w:rFonts w:ascii="Inter" w:hAnsi="Inter"/>
          <w:b w:val="0"/>
          <w:color w:val="141C2C"/>
          <w:sz w:val="19"/>
        </w:rPr>
        <w:t>Payment - czy capture po seller acceptance jest właściwym targetem; jakie zastrzeżenia wynikają z wybranego PSP?</w:t>
      </w:r>
    </w:p>
    <w:p>
      <w:pPr>
        <w:pStyle w:val="Heading2"/>
      </w:pPr>
      <w:r>
        <w:t>RFQ</w:t>
      </w:r>
    </w:p>
    <w:p>
      <w:pPr>
        <w:pStyle w:val="ListBullet"/>
      </w:pPr>
      <w:r>
        <w:rPr>
          <w:rFonts w:ascii="Inter" w:hAnsi="Inter"/>
          <w:b w:val="0"/>
          <w:color w:val="141C2C"/>
          <w:sz w:val="19"/>
        </w:rPr>
        <w:t>R1 - charakter złożenia RFQ i rozpoczęcia negocjacji.</w:t>
      </w:r>
    </w:p>
    <w:p>
      <w:pPr>
        <w:pStyle w:val="ListBullet"/>
      </w:pPr>
      <w:r>
        <w:rPr>
          <w:rFonts w:ascii="Inter" w:hAnsi="Inter"/>
          <w:b w:val="0"/>
          <w:color w:val="141C2C"/>
          <w:sz w:val="19"/>
        </w:rPr>
        <w:t>R4 - minimalne zastrzeżenie i UI, aby quotation było niewiążące zgodnie z intencją Ownera.</w:t>
      </w:r>
    </w:p>
    <w:p>
      <w:pPr>
        <w:pStyle w:val="ListBullet"/>
      </w:pPr>
      <w:r>
        <w:rPr>
          <w:rFonts w:ascii="Inter" w:hAnsi="Inter"/>
          <w:b w:val="0"/>
          <w:color w:val="141C2C"/>
          <w:sz w:val="19"/>
        </w:rPr>
        <w:t>R6/R7 - kiedy ewentualnie powstaje umowa, jeśli strony finalizują warunki po RFQ.</w:t>
      </w:r>
    </w:p>
    <w:p>
      <w:pPr>
        <w:pStyle w:val="ListBullet"/>
      </w:pPr>
      <w:r>
        <w:rPr>
          <w:rFonts w:ascii="Inter" w:hAnsi="Inter"/>
          <w:b w:val="0"/>
          <w:color w:val="141C2C"/>
          <w:sz w:val="19"/>
        </w:rPr>
        <w:t>Czy rekomendowane jest przeniesienie finalnego zawarcia umowy z RFQ do jednoznacznego flow zamówieniowego?</w:t>
      </w:r>
    </w:p>
    <w:tbl>
      <w:tblPr>
        <w:tblW w:type="auto" w:w="0"/>
        <w:tblLook w:firstColumn="1" w:firstRow="1" w:lastColumn="0" w:lastRow="0" w:noHBand="0" w:noVBand="1" w:val="04A0"/>
      </w:tblPr>
      <w:tblGrid>
        <w:gridCol w:w="10200"/>
      </w:tblGrid>
      <w:tr>
        <w:tc>
          <w:tcPr>
            <w:tcW w:type="dxa" w:w="10200"/>
            <w:shd w:fill="F0F0F0"/>
            <w:tcBorders>
              <w:top w:val="single" w:sz="7" w:color="147487"/>
              <w:left w:val="single" w:sz="7" w:color="147487"/>
              <w:bottom w:val="single" w:sz="7" w:color="147487"/>
              <w:right w:val="single" w:sz="7" w:color="147487"/>
              <w:insideH w:val="single" w:sz="7" w:color="147487"/>
              <w:insideV w:val="single" w:sz="7" w:color="147487"/>
            </w:tcBorders>
            <w:tcMar>
              <w:top w:w="120" w:type="dxa"/>
              <w:start w:w="130" w:type="dxa"/>
              <w:bottom w:w="120" w:type="dxa"/>
              <w:end w:w="130" w:type="dxa"/>
            </w:tcMar>
          </w:tcPr>
          <w:p>
            <w:r>
              <w:rPr>
                <w:rFonts w:ascii="Inter" w:hAnsi="Inter"/>
                <w:b/>
                <w:color w:val="141C2C"/>
                <w:sz w:val="18"/>
              </w:rPr>
              <w:t>Proponowany status</w:t>
              <w:br/>
            </w:r>
            <w:r>
              <w:rPr>
                <w:rFonts w:ascii="Inter" w:hAnsi="Inter"/>
                <w:b w:val="0"/>
                <w:color w:val="141C2C"/>
                <w:sz w:val="18"/>
              </w:rPr>
              <w:t>MORE_FACTS_REQUIRED; nie zamykać bez formalnego event mapping.</w:t>
            </w:r>
          </w:p>
        </w:tc>
      </w:tr>
    </w:tbl>
    <w:p/>
    <w:p>
      <w:pPr>
        <w:pStyle w:val="Heading1"/>
      </w:pPr>
      <w:r>
        <w:t>3. LEG-MKT-03 - seller disclosure</w:t>
      </w:r>
    </w:p>
    <w:p>
      <w:r>
        <w:t>Prosimy o finalną macierz: co ma być publiczne na ofercie, co ma być widoczne bezpośrednio przed RFQ/checkout, a co ma pozostać wyłącznie wewnętrznym KYB.</w:t>
      </w:r>
    </w:p>
    <w:tbl>
      <w:tblPr>
        <w:tblW w:type="auto" w:w="0"/>
        <w:jc w:val="left"/>
        <w:tblLayout w:type="fixed"/>
        <w:tblLook w:firstColumn="1" w:firstRow="1" w:lastColumn="0" w:lastRow="0" w:noHBand="0" w:noVBand="1" w:val="04A0"/>
      </w:tblPr>
      <w:tblGrid>
        <w:gridCol w:w="5100"/>
        <w:gridCol w:w="5100"/>
      </w:tblGrid>
      <w:tr>
        <w:tc>
          <w:tcPr>
            <w:tcW w:type="dxa" w:w="51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Pole</w:t>
            </w:r>
          </w:p>
        </w:tc>
        <w:tc>
          <w:tcPr>
            <w:tcW w:type="dxa" w:w="51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Treść</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Dane do oceny</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nazwa prawna, NIP/VAT ID, KRS/REGON lub inny rejestr, adres siedziby, firmowy kontakt, wystawca faktury, podmiot realizujący dostawę, podmiot obsługujący reklamację/zwrot, rola LogiMarket.</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Prosimy wskazać</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minimalny obowiązkowy dataset, moment prezentacji, podstawę prawną, public vs KYB-only oraz potrzebę snapshotu transakcyjnego.</w:t>
            </w:r>
          </w:p>
        </w:tc>
      </w:tr>
    </w:tbl>
    <w:p/>
    <w:tbl>
      <w:tblPr>
        <w:tblW w:type="auto" w:w="0"/>
        <w:tblLook w:firstColumn="1" w:firstRow="1" w:lastColumn="0" w:lastRow="0" w:noHBand="0" w:noVBand="1" w:val="04A0"/>
      </w:tblPr>
      <w:tblGrid>
        <w:gridCol w:w="10200"/>
      </w:tblGrid>
      <w:tr>
        <w:tc>
          <w:tcPr>
            <w:tcW w:type="dxa" w:w="10200"/>
            <w:shd w:fill="F0F0F0"/>
            <w:tcBorders>
              <w:top w:val="single" w:sz="7" w:color="147487"/>
              <w:left w:val="single" w:sz="7" w:color="147487"/>
              <w:bottom w:val="single" w:sz="7" w:color="147487"/>
              <w:right w:val="single" w:sz="7" w:color="147487"/>
              <w:insideH w:val="single" w:sz="7" w:color="147487"/>
              <w:insideV w:val="single" w:sz="7" w:color="147487"/>
            </w:tcBorders>
            <w:tcMar>
              <w:top w:w="120" w:type="dxa"/>
              <w:start w:w="130" w:type="dxa"/>
              <w:bottom w:w="120" w:type="dxa"/>
              <w:end w:w="130" w:type="dxa"/>
            </w:tcMar>
          </w:tcPr>
          <w:p>
            <w:r>
              <w:rPr>
                <w:rFonts w:ascii="Inter" w:hAnsi="Inter"/>
                <w:b/>
                <w:color w:val="141C2C"/>
                <w:sz w:val="18"/>
              </w:rPr>
              <w:t>Proponowany status</w:t>
              <w:br/>
            </w:r>
            <w:r>
              <w:rPr>
                <w:rFonts w:ascii="Inter" w:hAnsi="Inter"/>
                <w:b w:val="0"/>
                <w:color w:val="141C2C"/>
                <w:sz w:val="18"/>
              </w:rPr>
              <w:t>MORE_FACTS_REQUIRED.</w:t>
            </w:r>
          </w:p>
        </w:tc>
      </w:tr>
    </w:tbl>
    <w:p/>
    <w:p>
      <w:pPr>
        <w:pStyle w:val="Heading1"/>
      </w:pPr>
      <w:r>
        <w:t>4. LEG-MKT-04 - P2B</w:t>
      </w:r>
    </w:p>
    <w:tbl>
      <w:tblPr>
        <w:tblW w:type="auto" w:w="0"/>
        <w:tblLook w:firstColumn="1" w:firstRow="1" w:lastColumn="0" w:lastRow="0" w:noHBand="0" w:noVBand="1" w:val="04A0"/>
      </w:tblPr>
      <w:tblGrid>
        <w:gridCol w:w="10200"/>
      </w:tblGrid>
      <w:tr>
        <w:tc>
          <w:tcPr>
            <w:tcW w:type="dxa" w:w="10200"/>
            <w:shd w:fill="F0F0F0"/>
            <w:tcBorders>
              <w:top w:val="single" w:sz="7" w:color="147487"/>
              <w:left w:val="single" w:sz="7" w:color="147487"/>
              <w:bottom w:val="single" w:sz="7" w:color="147487"/>
              <w:right w:val="single" w:sz="7" w:color="147487"/>
              <w:insideH w:val="single" w:sz="7" w:color="147487"/>
              <w:insideV w:val="single" w:sz="7" w:color="147487"/>
            </w:tcBorders>
            <w:tcMar>
              <w:top w:w="120" w:type="dxa"/>
              <w:start w:w="130" w:type="dxa"/>
              <w:bottom w:w="120" w:type="dxa"/>
              <w:end w:w="130" w:type="dxa"/>
            </w:tcMar>
          </w:tcPr>
          <w:p>
            <w:r>
              <w:rPr>
                <w:rFonts w:ascii="Inter" w:hAnsi="Inter"/>
                <w:b/>
                <w:color w:val="141C2C"/>
                <w:sz w:val="18"/>
              </w:rPr>
              <w:t>Korekta R2.1</w:t>
              <w:br/>
            </w:r>
            <w:r>
              <w:rPr>
                <w:rFonts w:ascii="Inter" w:hAnsi="Inter"/>
                <w:b w:val="0"/>
                <w:color w:val="141C2C"/>
                <w:sz w:val="18"/>
              </w:rPr>
              <w:t>EUR-Lex wskazuje, że pure B2B online intermediation, które nie jest oferowane konsumentom, pozostaje poza zakresem Regulation (EU) 2019/1150. Wewnętrzny working assumption: P2B prawdopodobnie NOT_APPLICABLE, jeżeli faktyczny produkt pozostanie pure B2B.</w:t>
            </w:r>
          </w:p>
        </w:tc>
      </w:tr>
    </w:tbl>
    <w:p/>
    <w:p>
      <w:r>
        <w:t>Prosimy o formalne potwierdzenie, czy jakikolwiek element LogiMarket powoduje jednak wejście w zakres P2B. Jeżeli P2B nie ma zastosowania, prosimy wskazać, które mechanizmy partner protection rekomendują Państwo kontraktowo jako best practice, np. transparentność rankingu, przyczyny zawieszeń, procedura skarg, zasady zmian umowy i mediacja.</w:t>
      </w:r>
    </w:p>
    <w:tbl>
      <w:tblPr>
        <w:tblW w:type="auto" w:w="0"/>
        <w:jc w:val="left"/>
        <w:tblLayout w:type="fixed"/>
        <w:tblLook w:firstColumn="1" w:firstRow="1" w:lastColumn="0" w:lastRow="0" w:noHBand="0" w:noVBand="1" w:val="04A0"/>
      </w:tblPr>
      <w:tblGrid>
        <w:gridCol w:w="5100"/>
        <w:gridCol w:w="5100"/>
      </w:tblGrid>
      <w:tr>
        <w:tc>
          <w:tcPr>
            <w:tcW w:type="dxa" w:w="51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Pole</w:t>
            </w:r>
          </w:p>
        </w:tc>
        <w:tc>
          <w:tcPr>
            <w:tcW w:type="dxa" w:w="51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Treść</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Założenia do potwierdzenia</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BUYERS=B2B_ONLY; CONSUMER_OFFERING=NO; PARTNER_PRODUCTS_OFFERED_TO_CONSUMERS=NO.</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Proponowany status</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PENDING_FORMAL_COUNSEL_CONFIRMATION; expected outcome: NOT_APPLICABLE if pure B2B facts are confirmed.</w:t>
            </w:r>
          </w:p>
        </w:tc>
      </w:tr>
    </w:tbl>
    <w:p/>
    <w:p>
      <w:pPr>
        <w:pStyle w:val="Heading1"/>
      </w:pPr>
      <w:r>
        <w:t>5. DSA - klasyfikacja i zakres obowiązków</w:t>
      </w:r>
    </w:p>
    <w:p>
      <w:r>
        <w:t>Prosimy o niezależną od P2B kwalifikację DSA na podstawie faktycznej funkcjonalności LogiMarket.</w:t>
      </w:r>
    </w:p>
    <w:tbl>
      <w:tblPr>
        <w:tblW w:type="auto" w:w="0"/>
        <w:jc w:val="left"/>
        <w:tblLayout w:type="fixed"/>
        <w:tblLook w:firstColumn="1" w:firstRow="1" w:lastColumn="0" w:lastRow="0" w:noHBand="0" w:noVBand="1" w:val="04A0"/>
      </w:tblPr>
      <w:tblGrid>
        <w:gridCol w:w="5100"/>
        <w:gridCol w:w="5100"/>
      </w:tblGrid>
      <w:tr>
        <w:tc>
          <w:tcPr>
            <w:tcW w:type="dxa" w:w="51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Pole</w:t>
            </w:r>
          </w:p>
        </w:tc>
        <w:tc>
          <w:tcPr>
            <w:tcW w:type="dxa" w:w="51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Treść</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Section 1</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art. 11-15 - obowiązki ogólne dla intermediary services; art. 15 posiada własne SME exemption w ust. 2.</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Section 2</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art. 16-18 - hosting duties; nie są wyłączone przez art. 19.</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Section 3</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art. 19-28 - dodatkowe obowiązki online platforms. Art. 19 wyłącza mikro/małe, z wyjątkiem art. 24(3).</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Section 4</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art. 29-32 - online platforms allowing consumers to conclude distance contracts; art. 29 przewiduje odrębne SME exemption.</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Art. 24</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Prosimy potwierdzić, które obowiązki z art. 24 pozostają dla LogiMarket, w tym wyjątek art. 24(3). Nie utożsamiać raportu rocznego z publikacją danych o active recipients.</w:t>
            </w:r>
          </w:p>
        </w:tc>
      </w:tr>
    </w:tbl>
    <w:p/>
    <w:p>
      <w:pPr>
        <w:pStyle w:val="ListBullet"/>
      </w:pPr>
      <w:r>
        <w:rPr>
          <w:rFonts w:ascii="Inter" w:hAnsi="Inter"/>
          <w:b w:val="0"/>
          <w:color w:val="141C2C"/>
          <w:sz w:val="19"/>
        </w:rPr>
        <w:t>Czy LogiMarket jest hosting provider i/lub online platform w rozumieniu DSA?</w:t>
      </w:r>
    </w:p>
    <w:p>
      <w:pPr>
        <w:pStyle w:val="ListBullet"/>
      </w:pPr>
      <w:r>
        <w:rPr>
          <w:rFonts w:ascii="Inter" w:hAnsi="Inter"/>
          <w:b w:val="0"/>
          <w:color w:val="141C2C"/>
          <w:sz w:val="19"/>
        </w:rPr>
        <w:t>Które obowiązki Section 1 i Section 2 mają zastosowanie do aktualnego MVP?</w:t>
      </w:r>
    </w:p>
    <w:p>
      <w:pPr>
        <w:pStyle w:val="ListBullet"/>
      </w:pPr>
      <w:r>
        <w:rPr>
          <w:rFonts w:ascii="Inter" w:hAnsi="Inter"/>
          <w:b w:val="0"/>
          <w:color w:val="141C2C"/>
          <w:sz w:val="19"/>
        </w:rPr>
        <w:t>Jak zastosować art. 15(2), art. 19 oraz art. 29 przy faktycznym statusie przedsiębiorstwa?</w:t>
      </w:r>
    </w:p>
    <w:p>
      <w:pPr>
        <w:pStyle w:val="ListBullet"/>
      </w:pPr>
      <w:r>
        <w:rPr>
          <w:rFonts w:ascii="Inter" w:hAnsi="Inter"/>
          <w:b w:val="0"/>
          <w:color w:val="141C2C"/>
          <w:sz w:val="19"/>
        </w:rPr>
        <w:t>Czy Section 4/KYBC jest poza zakresem przy rzeczywistym B2B_ONLY?</w:t>
      </w:r>
    </w:p>
    <w:p>
      <w:pPr>
        <w:pStyle w:val="ListBullet"/>
      </w:pPr>
      <w:r>
        <w:rPr>
          <w:rFonts w:ascii="Inter" w:hAnsi="Inter"/>
          <w:b w:val="0"/>
          <w:color w:val="141C2C"/>
          <w:sz w:val="19"/>
        </w:rPr>
        <w:t>Jakie warunki muszą być spełnione dla właściwego korzystania z liability exemptions art. 4-6?</w:t>
      </w:r>
    </w:p>
    <w:p>
      <w:pPr>
        <w:pStyle w:val="ListBullet"/>
      </w:pPr>
      <w:r>
        <w:rPr>
          <w:rFonts w:ascii="Inter" w:hAnsi="Inter"/>
          <w:b w:val="0"/>
          <w:color w:val="141C2C"/>
          <w:sz w:val="19"/>
        </w:rPr>
        <w:t>Czy ręczny/editorial ranking jest systemem rekomendacji w konkretnym obecnym kształcie, czy nie?</w:t>
      </w:r>
    </w:p>
    <w:tbl>
      <w:tblPr>
        <w:tblW w:type="auto" w:w="0"/>
        <w:tblLook w:firstColumn="1" w:firstRow="1" w:lastColumn="0" w:lastRow="0" w:noHBand="0" w:noVBand="1" w:val="04A0"/>
      </w:tblPr>
      <w:tblGrid>
        <w:gridCol w:w="10200"/>
      </w:tblGrid>
      <w:tr>
        <w:tc>
          <w:tcPr>
            <w:tcW w:type="dxa" w:w="10200"/>
            <w:shd w:fill="F0F0F0"/>
            <w:tcBorders>
              <w:top w:val="single" w:sz="7" w:color="147487"/>
              <w:left w:val="single" w:sz="7" w:color="147487"/>
              <w:bottom w:val="single" w:sz="7" w:color="147487"/>
              <w:right w:val="single" w:sz="7" w:color="147487"/>
              <w:insideH w:val="single" w:sz="7" w:color="147487"/>
              <w:insideV w:val="single" w:sz="7" w:color="147487"/>
            </w:tcBorders>
            <w:tcMar>
              <w:top w:w="120" w:type="dxa"/>
              <w:start w:w="130" w:type="dxa"/>
              <w:bottom w:w="120" w:type="dxa"/>
              <w:end w:w="130" w:type="dxa"/>
            </w:tcMar>
          </w:tcPr>
          <w:p>
            <w:r>
              <w:rPr>
                <w:rFonts w:ascii="Inter" w:hAnsi="Inter"/>
                <w:b/>
                <w:color w:val="141C2C"/>
                <w:sz w:val="18"/>
              </w:rPr>
              <w:t>Proponowany status</w:t>
              <w:br/>
            </w:r>
            <w:r>
              <w:rPr>
                <w:rFonts w:ascii="Inter" w:hAnsi="Inter"/>
                <w:b w:val="0"/>
                <w:color w:val="141C2C"/>
                <w:sz w:val="18"/>
              </w:rPr>
              <w:t>MORE_FACTS_REQUIRED.</w:t>
            </w:r>
          </w:p>
        </w:tc>
      </w:tr>
    </w:tbl>
    <w:p/>
    <w:p>
      <w:pPr>
        <w:pStyle w:val="Heading1"/>
      </w:pPr>
      <w:r>
        <w:t>6. LEG-MKT-08 - skuteczne B2B gating</w:t>
      </w:r>
    </w:p>
    <w:p>
      <w:r>
        <w:t>Obecna aplikacja nie posiada realnego mechanizmu B2B eligibility; samo companyName nie powinno być traktowane jako dowód.</w:t>
      </w:r>
    </w:p>
    <w:p>
      <w:pPr>
        <w:pStyle w:val="ListBullet"/>
      </w:pPr>
      <w:r>
        <w:rPr>
          <w:rFonts w:ascii="Inter" w:hAnsi="Inter"/>
          <w:b w:val="0"/>
          <w:color w:val="141C2C"/>
          <w:sz w:val="19"/>
        </w:rPr>
        <w:t>Prosimy określić minimalną metodologię dla e-commerce PL oraz RFQ PL+UE.</w:t>
      </w:r>
    </w:p>
    <w:p>
      <w:pPr>
        <w:pStyle w:val="ListBullet"/>
      </w:pPr>
      <w:r>
        <w:rPr>
          <w:rFonts w:ascii="Inter" w:hAnsi="Inter"/>
          <w:b w:val="0"/>
          <w:color w:val="141C2C"/>
          <w:sz w:val="19"/>
        </w:rPr>
        <w:t>Prosimy wskazać, kiedy wymagany jest NIP, VAT ID, inny identyfikator rejestrowy lub weryfikacja manualna.</w:t>
      </w:r>
    </w:p>
    <w:p>
      <w:pPr>
        <w:pStyle w:val="ListBullet"/>
      </w:pPr>
      <w:r>
        <w:rPr>
          <w:rFonts w:ascii="Inter" w:hAnsi="Inter"/>
          <w:b w:val="0"/>
          <w:color w:val="141C2C"/>
          <w:sz w:val="19"/>
        </w:rPr>
        <w:t>Prosimy potwierdzić rolę VIES i alternatywy dla podmiotów nieposiadających VAT UE.</w:t>
      </w:r>
    </w:p>
    <w:p>
      <w:pPr>
        <w:pStyle w:val="ListBullet"/>
      </w:pPr>
      <w:r>
        <w:rPr>
          <w:rFonts w:ascii="Inter" w:hAnsi="Inter"/>
          <w:b w:val="0"/>
          <w:color w:val="141C2C"/>
          <w:sz w:val="19"/>
        </w:rPr>
        <w:t>Prosimy określić wymagane oświadczenie B2B i procedurę przy błędnej kwalifikacji użytkownika.</w:t>
      </w:r>
    </w:p>
    <w:tbl>
      <w:tblPr>
        <w:tblW w:type="auto" w:w="0"/>
        <w:tblLook w:firstColumn="1" w:firstRow="1" w:lastColumn="0" w:lastRow="0" w:noHBand="0" w:noVBand="1" w:val="04A0"/>
      </w:tblPr>
      <w:tblGrid>
        <w:gridCol w:w="10200"/>
      </w:tblGrid>
      <w:tr>
        <w:tc>
          <w:tcPr>
            <w:tcW w:type="dxa" w:w="10200"/>
            <w:shd w:fill="F0F0F0"/>
            <w:tcBorders>
              <w:top w:val="single" w:sz="7" w:color="147487"/>
              <w:left w:val="single" w:sz="7" w:color="147487"/>
              <w:bottom w:val="single" w:sz="7" w:color="147487"/>
              <w:right w:val="single" w:sz="7" w:color="147487"/>
              <w:insideH w:val="single" w:sz="7" w:color="147487"/>
              <w:insideV w:val="single" w:sz="7" w:color="147487"/>
            </w:tcBorders>
            <w:tcMar>
              <w:top w:w="120" w:type="dxa"/>
              <w:start w:w="130" w:type="dxa"/>
              <w:bottom w:w="120" w:type="dxa"/>
              <w:end w:w="130" w:type="dxa"/>
            </w:tcMar>
          </w:tcPr>
          <w:p>
            <w:r>
              <w:rPr>
                <w:rFonts w:ascii="Inter" w:hAnsi="Inter"/>
                <w:b/>
                <w:color w:val="141C2C"/>
                <w:sz w:val="18"/>
              </w:rPr>
              <w:t>Architektura</w:t>
              <w:br/>
            </w:r>
            <w:r>
              <w:rPr>
                <w:rFonts w:ascii="Inter" w:hAnsi="Inter"/>
                <w:b w:val="0"/>
                <w:color w:val="141C2C"/>
                <w:sz w:val="18"/>
              </w:rPr>
              <w:t>Buyer eligibility, NIP/VAT/registry verification i BuyerLegalContext należą do 56B2, nie do 56B1.</w:t>
            </w:r>
          </w:p>
        </w:tc>
      </w:tr>
    </w:tbl>
    <w:p/>
    <w:p>
      <w:pPr>
        <w:pStyle w:val="Heading1"/>
      </w:pPr>
      <w:r>
        <w:t>7. LEG-MKT-09 / OMQ-MKT-11 - RODO, retencja i cookie</w:t>
      </w:r>
    </w:p>
    <w:tbl>
      <w:tblPr>
        <w:tblW w:type="auto" w:w="0"/>
        <w:tblLook w:firstColumn="1" w:firstRow="1" w:lastColumn="0" w:lastRow="0" w:noHBand="0" w:noVBand="1" w:val="04A0"/>
      </w:tblPr>
      <w:tblGrid>
        <w:gridCol w:w="10200"/>
      </w:tblGrid>
      <w:tr>
        <w:tc>
          <w:tcPr>
            <w:tcW w:type="dxa" w:w="10200"/>
            <w:shd w:fill="F0F0F0"/>
            <w:tcBorders>
              <w:top w:val="single" w:sz="7" w:color="147487"/>
              <w:left w:val="single" w:sz="7" w:color="147487"/>
              <w:bottom w:val="single" w:sz="7" w:color="147487"/>
              <w:right w:val="single" w:sz="7" w:color="147487"/>
              <w:insideH w:val="single" w:sz="7" w:color="147487"/>
              <w:insideV w:val="single" w:sz="7" w:color="147487"/>
            </w:tcBorders>
            <w:tcMar>
              <w:top w:w="120" w:type="dxa"/>
              <w:start w:w="130" w:type="dxa"/>
              <w:bottom w:w="120" w:type="dxa"/>
              <w:end w:w="130" w:type="dxa"/>
            </w:tcMar>
          </w:tcPr>
          <w:p>
            <w:r>
              <w:rPr>
                <w:rFonts w:ascii="Inter" w:hAnsi="Inter"/>
                <w:b/>
                <w:color w:val="141C2C"/>
                <w:sz w:val="18"/>
              </w:rPr>
              <w:t>Korekta</w:t>
              <w:br/>
            </w:r>
            <w:r>
              <w:rPr>
                <w:rFonts w:ascii="Inter" w:hAnsi="Inter"/>
                <w:b w:val="0"/>
                <w:color w:val="141C2C"/>
                <w:sz w:val="18"/>
              </w:rPr>
              <w:t>Przepis dotyczący przechowywania/odczytu informacji z urządzenia końcowego znajduje się w art. 399 PKE. Future LogiMarket -&gt; Partner nie jest z góry klasyfikowane jako współadministrowanie; rola musi być ustalona per processing activity.</w:t>
            </w:r>
          </w:p>
        </w:tc>
      </w:tr>
    </w:tbl>
    <w:p/>
    <w:p>
      <w:pPr>
        <w:pStyle w:val="ListBullet"/>
      </w:pPr>
      <w:r>
        <w:rPr>
          <w:rFonts w:ascii="Inter" w:hAnsi="Inter"/>
          <w:b w:val="0"/>
          <w:color w:val="141C2C"/>
          <w:sz w:val="19"/>
        </w:rPr>
        <w:t>Prosimy potwierdzić role LogiMarket i Partnera per ACT-01..ACT-06 oraz dla przyszłego disclosure do Partnera.</w:t>
      </w:r>
    </w:p>
    <w:p>
      <w:pPr>
        <w:pStyle w:val="ListBullet"/>
      </w:pPr>
      <w:r>
        <w:rPr>
          <w:rFonts w:ascii="Inter" w:hAnsi="Inter"/>
          <w:b w:val="0"/>
          <w:color w:val="141C2C"/>
          <w:sz w:val="19"/>
        </w:rPr>
        <w:t>Prosimy wskazać podstawy prawne per processing purpose oraz zakres obowiązków art. 13/14.</w:t>
      </w:r>
    </w:p>
    <w:p>
      <w:pPr>
        <w:pStyle w:val="ListBullet"/>
      </w:pPr>
      <w:r>
        <w:rPr>
          <w:rFonts w:ascii="Inter" w:hAnsi="Inter"/>
          <w:b w:val="0"/>
          <w:color w:val="141C2C"/>
          <w:sz w:val="19"/>
        </w:rPr>
        <w:t>Prosimy potwierdzić, czy consent jest potrzebny dla któregokolwiek core flow; osobno marketing/cookie.</w:t>
      </w:r>
    </w:p>
    <w:p>
      <w:pPr>
        <w:pStyle w:val="ListBullet"/>
      </w:pPr>
      <w:r>
        <w:rPr>
          <w:rFonts w:ascii="Inter" w:hAnsi="Inter"/>
          <w:b w:val="0"/>
          <w:color w:val="141C2C"/>
          <w:sz w:val="19"/>
        </w:rPr>
        <w:t>Prosimy ustalić retention periods i triggers dla cart_items, orders, rfq_leads, clicks, auth i partner contacts.</w:t>
      </w:r>
    </w:p>
    <w:p>
      <w:pPr>
        <w:pStyle w:val="ListBullet"/>
      </w:pPr>
      <w:r>
        <w:rPr>
          <w:rFonts w:ascii="Inter" w:hAnsi="Inter"/>
          <w:b w:val="0"/>
          <w:color w:val="141C2C"/>
          <w:sz w:val="19"/>
        </w:rPr>
        <w:t>Prosimy zweryfikować aktualne DPA/subprocessor/transfer documents dla Supabase i innych faktycznych vendorów.</w:t>
      </w:r>
    </w:p>
    <w:p>
      <w:pPr>
        <w:pStyle w:val="ListBullet"/>
      </w:pPr>
      <w:r>
        <w:rPr>
          <w:rFonts w:ascii="Inter" w:hAnsi="Inter"/>
          <w:b w:val="0"/>
          <w:color w:val="141C2C"/>
          <w:sz w:val="19"/>
        </w:rPr>
        <w:t>Cookie: czy 30-dniowe utrzymanie identyfikatora koszyka mieści się w wyjątku konieczności z art. 399 ust. 3, czy wymaga zgody; czy lepszy jest model session-only?</w:t>
      </w:r>
    </w:p>
    <w:p>
      <w:pPr>
        <w:pStyle w:val="ListBullet"/>
      </w:pPr>
      <w:r>
        <w:rPr>
          <w:rFonts w:ascii="Inter" w:hAnsi="Inter"/>
          <w:b w:val="0"/>
          <w:color w:val="141C2C"/>
          <w:sz w:val="19"/>
        </w:rPr>
        <w:t>Security: prosimy potwierdzić ocenę braku jawnej Secure flag oraz wymagania produkcyjne.</w:t>
      </w:r>
    </w:p>
    <w:p>
      <w:pPr>
        <w:pStyle w:val="ListBullet"/>
      </w:pPr>
      <w:r>
        <w:rPr>
          <w:rFonts w:ascii="Inter" w:hAnsi="Inter"/>
          <w:b w:val="0"/>
          <w:color w:val="141C2C"/>
          <w:sz w:val="19"/>
        </w:rPr>
        <w:t>DPIA: czy MVP wymaga DPIA czy wystarczy udokumentowany screening?</w:t>
      </w:r>
    </w:p>
    <w:tbl>
      <w:tblPr>
        <w:tblW w:type="auto" w:w="0"/>
        <w:tblLook w:firstColumn="1" w:firstRow="1" w:lastColumn="0" w:lastRow="0" w:noHBand="0" w:noVBand="1" w:val="04A0"/>
      </w:tblPr>
      <w:tblGrid>
        <w:gridCol w:w="10200"/>
      </w:tblGrid>
      <w:tr>
        <w:tc>
          <w:tcPr>
            <w:tcW w:type="dxa" w:w="10200"/>
            <w:shd w:fill="F0F0F0"/>
            <w:tcBorders>
              <w:top w:val="single" w:sz="7" w:color="147487"/>
              <w:left w:val="single" w:sz="7" w:color="147487"/>
              <w:bottom w:val="single" w:sz="7" w:color="147487"/>
              <w:right w:val="single" w:sz="7" w:color="147487"/>
              <w:insideH w:val="single" w:sz="7" w:color="147487"/>
              <w:insideV w:val="single" w:sz="7" w:color="147487"/>
            </w:tcBorders>
            <w:tcMar>
              <w:top w:w="120" w:type="dxa"/>
              <w:start w:w="130" w:type="dxa"/>
              <w:bottom w:w="120" w:type="dxa"/>
              <w:end w:w="130" w:type="dxa"/>
            </w:tcMar>
          </w:tcPr>
          <w:p>
            <w:r>
              <w:rPr>
                <w:rFonts w:ascii="Inter" w:hAnsi="Inter"/>
                <w:b/>
                <w:color w:val="141C2C"/>
                <w:sz w:val="18"/>
              </w:rPr>
              <w:t>Proponowany status</w:t>
              <w:br/>
            </w:r>
            <w:r>
              <w:rPr>
                <w:rFonts w:ascii="Inter" w:hAnsi="Inter"/>
                <w:b w:val="0"/>
                <w:color w:val="141C2C"/>
                <w:sz w:val="18"/>
              </w:rPr>
              <w:t>MORE_FACTS_REQUIRED / DPO sign-off.</w:t>
            </w:r>
          </w:p>
        </w:tc>
      </w:tr>
    </w:tbl>
    <w:p/>
    <w:p>
      <w:pPr>
        <w:pStyle w:val="Heading1"/>
      </w:pPr>
      <w:r>
        <w:t>8. VAT / KSeF / DAC7 / PSP</w:t>
      </w:r>
    </w:p>
    <w:p>
      <w:pPr>
        <w:pStyle w:val="Heading2"/>
      </w:pPr>
      <w:r>
        <w:t>KSeF</w:t>
      </w:r>
    </w:p>
    <w:p>
      <w:r>
        <w:t>Aktualne materiały MF wskazują obowiązek etapowy oraz przejściową możliwość wystawiania poza KSeF do końca 2026 r. przy miesięcznej wartości sprzedaży dokumentowanej takimi fakturami nieprzekraczającej 10 000 zł brutto. Prosimy ustalić faktyczny status LogiMarket.</w:t>
      </w:r>
    </w:p>
    <w:p>
      <w:pPr>
        <w:pStyle w:val="ListBullet"/>
      </w:pPr>
      <w:r>
        <w:rPr>
          <w:rFonts w:ascii="Inter" w:hAnsi="Inter"/>
          <w:b w:val="0"/>
          <w:color w:val="141C2C"/>
          <w:sz w:val="19"/>
        </w:rPr>
        <w:t>Czy LogiMarket podlega już obowiązkowemu wystawianiu w KSeF przy obecnym wolumenie fakturowanej sprzedaży?</w:t>
      </w:r>
    </w:p>
    <w:p>
      <w:pPr>
        <w:pStyle w:val="ListBullet"/>
      </w:pPr>
      <w:r>
        <w:rPr>
          <w:rFonts w:ascii="Inter" w:hAnsi="Inter"/>
          <w:b w:val="0"/>
          <w:color w:val="141C2C"/>
          <w:sz w:val="19"/>
        </w:rPr>
        <w:t>Czy obowiązek odbierania faktur w KSeF ma zastosowanie do LogiMarket od 1.02.2026?</w:t>
      </w:r>
    </w:p>
    <w:p>
      <w:pPr>
        <w:pStyle w:val="ListBullet"/>
      </w:pPr>
      <w:r>
        <w:rPr>
          <w:rFonts w:ascii="Inter" w:hAnsi="Inter"/>
          <w:b w:val="0"/>
          <w:color w:val="141C2C"/>
          <w:sz w:val="19"/>
        </w:rPr>
        <w:t>Czy MVP może korzystać z zewnętrznego programu/biura rachunkowego/Aplikacji Podatnika zamiast własnej integracji API?</w:t>
      </w:r>
    </w:p>
    <w:p>
      <w:pPr>
        <w:pStyle w:val="ListBullet"/>
      </w:pPr>
      <w:r>
        <w:rPr>
          <w:rFonts w:ascii="Inter" w:hAnsi="Inter"/>
          <w:b w:val="0"/>
          <w:color w:val="141C2C"/>
          <w:sz w:val="19"/>
        </w:rPr>
        <w:t>Jakie dane/statusy KSeF naprawdę trzeba przechowywać w aplikacji marketplace, jeśli fakturowanie pozostaje poza własnym modułem?</w:t>
      </w:r>
    </w:p>
    <w:p>
      <w:pPr>
        <w:pStyle w:val="Heading2"/>
      </w:pPr>
      <w:r>
        <w:t>DAC7</w:t>
      </w:r>
    </w:p>
    <w:p>
      <w:pPr>
        <w:pStyle w:val="ListBullet"/>
      </w:pPr>
      <w:r>
        <w:rPr>
          <w:rFonts w:ascii="Inter" w:hAnsi="Inter"/>
          <w:b w:val="0"/>
          <w:color w:val="141C2C"/>
          <w:sz w:val="19"/>
        </w:rPr>
        <w:t>Czy LogiMarket spełnia definicję reporting platform operator dla planowanego modelu?</w:t>
      </w:r>
    </w:p>
    <w:p>
      <w:pPr>
        <w:pStyle w:val="ListBullet"/>
      </w:pPr>
      <w:r>
        <w:rPr>
          <w:rFonts w:ascii="Inter" w:hAnsi="Inter"/>
          <w:b w:val="0"/>
          <w:color w:val="141C2C"/>
          <w:sz w:val="19"/>
        </w:rPr>
        <w:t>Którzy Partnerzy/transakcje są reportable lub excluded?</w:t>
      </w:r>
    </w:p>
    <w:p>
      <w:pPr>
        <w:pStyle w:val="ListBullet"/>
      </w:pPr>
      <w:r>
        <w:rPr>
          <w:rFonts w:ascii="Inter" w:hAnsi="Inter"/>
          <w:b w:val="0"/>
          <w:color w:val="141C2C"/>
          <w:sz w:val="19"/>
        </w:rPr>
        <w:t>Jaki jest minimalny wymagany dataset i proces due diligence? Prosimy oddzielić DAC7 od PSP KYB i AML.</w:t>
      </w:r>
    </w:p>
    <w:p>
      <w:pPr>
        <w:pStyle w:val="ListBullet"/>
      </w:pPr>
      <w:r>
        <w:rPr>
          <w:rFonts w:ascii="Inter" w:hAnsi="Inter"/>
          <w:b w:val="0"/>
          <w:color w:val="141C2C"/>
          <w:sz w:val="19"/>
        </w:rPr>
        <w:t>Czy dane takie jak beneficial owners są w ogóle wymagane przez DAC7 w naszym modelu, czy wynikałyby z innego reżimu?</w:t>
      </w:r>
    </w:p>
    <w:p>
      <w:pPr>
        <w:pStyle w:val="Heading2"/>
      </w:pPr>
      <w:r>
        <w:t>PSP / płatności</w:t>
      </w:r>
    </w:p>
    <w:p>
      <w:pPr>
        <w:pStyle w:val="ListBullet"/>
      </w:pPr>
      <w:r>
        <w:rPr>
          <w:rFonts w:ascii="Inter" w:hAnsi="Inter"/>
          <w:b w:val="0"/>
          <w:color w:val="141C2C"/>
          <w:sz w:val="19"/>
        </w:rPr>
        <w:t>Czy target preauthorization -&gt; seller acceptance -&gt; capture może zostać zrealizowany przez licencjonowanego PSP bez self-custody LogiMarket?</w:t>
      </w:r>
    </w:p>
    <w:p>
      <w:pPr>
        <w:pStyle w:val="ListBullet"/>
      </w:pPr>
      <w:r>
        <w:rPr>
          <w:rFonts w:ascii="Inter" w:hAnsi="Inter"/>
          <w:b w:val="0"/>
          <w:color w:val="141C2C"/>
          <w:sz w:val="19"/>
        </w:rPr>
        <w:t>Które marketplace payment models są prawnie dopuszczalne i operacyjnie najbezpieczniejsze: connected accounts, direct payout, split allocation lub inne?</w:t>
      </w:r>
    </w:p>
    <w:p>
      <w:pPr>
        <w:pStyle w:val="ListBullet"/>
      </w:pPr>
      <w:r>
        <w:rPr>
          <w:rFonts w:ascii="Inter" w:hAnsi="Inter"/>
          <w:b w:val="0"/>
          <w:color w:val="141C2C"/>
          <w:sz w:val="19"/>
        </w:rPr>
        <w:t>Jakie warunki powodowałyby wejście LogiMarket w regulowany reżim usług płatniczych?</w:t>
      </w:r>
    </w:p>
    <w:p>
      <w:pPr>
        <w:pStyle w:val="ListBullet"/>
      </w:pPr>
      <w:r>
        <w:rPr>
          <w:rFonts w:ascii="Inter" w:hAnsi="Inter"/>
          <w:b w:val="0"/>
          <w:color w:val="141C2C"/>
          <w:sz w:val="19"/>
        </w:rPr>
        <w:t>Jakie evidence od konkretnego PSP jest wymagane przed zamknięciem LEG-MKT-05?</w:t>
      </w:r>
    </w:p>
    <w:p>
      <w:pPr>
        <w:pStyle w:val="Heading1"/>
      </w:pPr>
      <w:r>
        <w:t>9. Dodatkowe kwestie do sprawdzenia</w:t>
      </w:r>
    </w:p>
    <w:p>
      <w:pPr>
        <w:pStyle w:val="ListBullet"/>
      </w:pPr>
      <w:r>
        <w:rPr>
          <w:rFonts w:ascii="Inter" w:hAnsi="Inter"/>
          <w:b w:val="0"/>
          <w:color w:val="141C2C"/>
          <w:sz w:val="19"/>
        </w:rPr>
        <w:t>B2B warranty/rękojmia i możliwość kontraktowego ograniczenia; zasady dobrowolnych zwrotów B2B.</w:t>
      </w:r>
    </w:p>
    <w:p>
      <w:pPr>
        <w:pStyle w:val="ListBullet"/>
      </w:pPr>
      <w:r>
        <w:rPr>
          <w:rFonts w:ascii="Inter" w:hAnsi="Inter"/>
          <w:b w:val="0"/>
          <w:color w:val="141C2C"/>
          <w:sz w:val="19"/>
        </w:rPr>
        <w:t>Prawo właściwe i jurysdykcja dla Partnerów i kupujących z UE.</w:t>
      </w:r>
    </w:p>
    <w:p>
      <w:pPr>
        <w:pStyle w:val="ListBullet"/>
      </w:pPr>
      <w:r>
        <w:rPr>
          <w:rFonts w:ascii="Inter" w:hAnsi="Inter"/>
          <w:b w:val="0"/>
          <w:color w:val="141C2C"/>
          <w:sz w:val="19"/>
        </w:rPr>
        <w:t>Odpowiedzialność za treści ofert, proces zgłoszeń i moderacji.</w:t>
      </w:r>
    </w:p>
    <w:p>
      <w:pPr>
        <w:pStyle w:val="ListBullet"/>
      </w:pPr>
      <w:r>
        <w:rPr>
          <w:rFonts w:ascii="Inter" w:hAnsi="Inter"/>
          <w:b w:val="0"/>
          <w:color w:val="141C2C"/>
          <w:sz w:val="19"/>
        </w:rPr>
        <w:t>Licencja Partnera na zdjęcia/opisy/znaki oraz odpowiedzialność za prawa IP.</w:t>
      </w:r>
    </w:p>
    <w:p>
      <w:pPr>
        <w:pStyle w:val="ListBullet"/>
      </w:pPr>
      <w:r>
        <w:rPr>
          <w:rFonts w:ascii="Inter" w:hAnsi="Inter"/>
          <w:b w:val="0"/>
          <w:color w:val="141C2C"/>
          <w:sz w:val="19"/>
        </w:rPr>
        <w:t>NIS2 / krajowe przepisy cyberbezpieczeństwa - czy LogiMarket w aktualnej skali wchodzi w zakres.</w:t>
      </w:r>
    </w:p>
    <w:p>
      <w:pPr>
        <w:pStyle w:val="ListBullet"/>
      </w:pPr>
      <w:r>
        <w:rPr>
          <w:rFonts w:ascii="Inter" w:hAnsi="Inter"/>
          <w:b w:val="0"/>
          <w:color w:val="141C2C"/>
          <w:sz w:val="19"/>
        </w:rPr>
        <w:t>AI/recommendation compliance przed przyszłym automatycznym rankingiem.</w:t>
      </w:r>
    </w:p>
    <w:p>
      <w:pPr>
        <w:pStyle w:val="Heading1"/>
      </w:pPr>
      <w:r>
        <w:t>10. Oczekiwany format odpowiedzi</w:t>
      </w:r>
    </w:p>
    <w:tbl>
      <w:tblPr>
        <w:tblW w:type="auto" w:w="0"/>
        <w:jc w:val="left"/>
        <w:tblLayout w:type="fixed"/>
        <w:tblLook w:firstColumn="1" w:firstRow="1" w:lastColumn="0" w:lastRow="0" w:noHBand="0" w:noVBand="1" w:val="04A0"/>
      </w:tblPr>
      <w:tblGrid>
        <w:gridCol w:w="5100"/>
        <w:gridCol w:w="5100"/>
      </w:tblGrid>
      <w:tr>
        <w:tc>
          <w:tcPr>
            <w:tcW w:type="dxa" w:w="51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Pole</w:t>
            </w:r>
          </w:p>
        </w:tc>
        <w:tc>
          <w:tcPr>
            <w:tcW w:type="dxa" w:w="51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Treść</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GATE_ID</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np. LEG-MKT-01 / LEG-MKT-09 / DSA</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Werdykt</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APPROVED / APPROVED_WITH_CONDITIONS / NOT_APPLICABLE / MORE_FACTS_REQUIRED</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Podstawa prawna</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akt / przepis / orzecznictwo / wytyczne</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Zakres i warunki</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kiedy kwalifikacja działa; wyjątki; terytorium</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Wymagane zmiany</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business / regulamin / UI / dane / proces / umowa Partnera</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Minimalna treść</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wymagane klauzule lub komunikaty</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Wpływ techniczny</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co może być projektowane w 56B1/56B2/56B3 po tej decyzji</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Reviewer</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imię, funkcja, data</w:t>
            </w:r>
          </w:p>
        </w:tc>
      </w:tr>
    </w:tbl>
    <w:p/>
    <w:p>
      <w:pPr>
        <w:pStyle w:val="Heading1"/>
      </w:pPr>
      <w:r>
        <w:t>11. Gate register - stan przed odpowiedzią</w:t>
      </w:r>
    </w:p>
    <w:tbl>
      <w:tblPr>
        <w:tblW w:type="auto" w:w="0"/>
        <w:jc w:val="left"/>
        <w:tblLayout w:type="fixed"/>
        <w:tblLook w:firstColumn="1" w:firstRow="1" w:lastColumn="0" w:lastRow="0" w:noHBand="0" w:noVBand="1" w:val="04A0"/>
      </w:tblPr>
      <w:tblGrid>
        <w:gridCol w:w="3400"/>
        <w:gridCol w:w="3400"/>
        <w:gridCol w:w="3400"/>
      </w:tblGrid>
      <w:tr>
        <w:tc>
          <w:tcPr>
            <w:tcW w:type="dxa" w:w="34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Gate</w:t>
            </w:r>
          </w:p>
        </w:tc>
        <w:tc>
          <w:tcPr>
            <w:tcW w:type="dxa" w:w="34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Status</w:t>
            </w:r>
          </w:p>
        </w:tc>
        <w:tc>
          <w:tcPr>
            <w:tcW w:type="dxa" w:w="34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Next evidence</w:t>
            </w:r>
          </w:p>
        </w:tc>
      </w:tr>
      <w:tr>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5"/>
              </w:rPr>
              <w:t>LEG-MKT-01</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MORE_FACTS_REQUIRED</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formalna re-kwalifikacja intermediary model</w:t>
            </w:r>
          </w:p>
        </w:tc>
      </w:tr>
      <w:tr>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5"/>
              </w:rPr>
              <w:t>LEG-MKT-02</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MORE_FACTS_REQUIRED</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signed event mapping</w:t>
            </w:r>
          </w:p>
        </w:tc>
      </w:tr>
      <w:tr>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5"/>
              </w:rPr>
              <w:t>LEG-MKT-03</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MORE_FACTS_REQUIRED</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final seller disclosure matrix</w:t>
            </w:r>
          </w:p>
        </w:tc>
      </w:tr>
      <w:tr>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5"/>
              </w:rPr>
              <w:t>LEG-MKT-04</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PENDING_FORMAL_COUNSEL_CONFIRMATION</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P2B likely NOT_APPLICABLE if pure B2B</w:t>
            </w:r>
          </w:p>
        </w:tc>
      </w:tr>
      <w:tr>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5"/>
              </w:rPr>
              <w:t>DSA</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MORE_FACTS_REQUIRED</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service classification + correct Section 1/2/3/4 mapping</w:t>
            </w:r>
          </w:p>
        </w:tc>
      </w:tr>
      <w:tr>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5"/>
              </w:rPr>
              <w:t>LEG-MKT-08</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PENDING_EXTERNAL_COUNSEL</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B2B eligibility methodology</w:t>
            </w:r>
          </w:p>
        </w:tc>
      </w:tr>
      <w:tr>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5"/>
              </w:rPr>
              <w:t>LEG-MKT-09</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MORE_FACTS_REQUIRED</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privacy role/retention/vendor/cookie sign-off</w:t>
            </w:r>
          </w:p>
        </w:tc>
      </w:tr>
      <w:tr>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5"/>
              </w:rPr>
              <w:t>OMQ-MKT-01</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PENDING_EXTERNAL_COUNSEL</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e-commerce contract moment</w:t>
            </w:r>
          </w:p>
        </w:tc>
      </w:tr>
      <w:tr>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5"/>
              </w:rPr>
              <w:t>OMQ-MKT-02</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PENDING_EXTERNAL_COUNSEL</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RFQ contract moment</w:t>
            </w:r>
          </w:p>
        </w:tc>
      </w:tr>
      <w:tr>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5"/>
              </w:rPr>
              <w:t>OMQ-MKT-11</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PENDING_DPO_COUNSEL</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privacy/retention evidence</w:t>
            </w:r>
          </w:p>
        </w:tc>
      </w:tr>
      <w:tr>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5"/>
              </w:rPr>
              <w:t>VAT/KSeF</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MORE_FACTS_REQUIRED</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tax/accounting sign-off</w:t>
            </w:r>
          </w:p>
        </w:tc>
      </w:tr>
      <w:tr>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5"/>
              </w:rPr>
              <w:t>DAC7</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MORE_FACTS_REQUIRED</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operator scope + minimum dataset</w:t>
            </w:r>
          </w:p>
        </w:tc>
      </w:tr>
      <w:tr>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5"/>
              </w:rPr>
              <w:t>PSP</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MORE_FACTS_REQUIRED</w:t>
            </w:r>
          </w:p>
        </w:tc>
        <w:tc>
          <w:tcPr>
            <w:tcW w:type="dxa" w:w="34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5"/>
              </w:rPr>
              <w:t>licensed PSP model / feasibility</w:t>
            </w:r>
          </w:p>
        </w:tc>
      </w:tr>
    </w:tbl>
    <w:p/>
    <w:tbl>
      <w:tblPr>
        <w:tblW w:type="auto" w:w="0"/>
        <w:tblLook w:firstColumn="1" w:firstRow="1" w:lastColumn="0" w:lastRow="0" w:noHBand="0" w:noVBand="1" w:val="04A0"/>
      </w:tblPr>
      <w:tblGrid>
        <w:gridCol w:w="10200"/>
      </w:tblGrid>
      <w:tr>
        <w:tc>
          <w:tcPr>
            <w:tcW w:type="dxa" w:w="10200"/>
            <w:shd w:fill="FFF6E5"/>
            <w:tcBorders>
              <w:top w:val="single" w:sz="7" w:color="147487"/>
              <w:left w:val="single" w:sz="7" w:color="147487"/>
              <w:bottom w:val="single" w:sz="7" w:color="147487"/>
              <w:right w:val="single" w:sz="7" w:color="147487"/>
              <w:insideH w:val="single" w:sz="7" w:color="147487"/>
              <w:insideV w:val="single" w:sz="7" w:color="147487"/>
            </w:tcBorders>
            <w:tcMar>
              <w:top w:w="120" w:type="dxa"/>
              <w:start w:w="130" w:type="dxa"/>
              <w:bottom w:w="120" w:type="dxa"/>
              <w:end w:w="130" w:type="dxa"/>
            </w:tcMar>
          </w:tcPr>
          <w:p>
            <w:r>
              <w:rPr>
                <w:rFonts w:ascii="Inter" w:hAnsi="Inter"/>
                <w:b/>
                <w:color w:val="141C2C"/>
                <w:sz w:val="18"/>
              </w:rPr>
              <w:t>Readiness</w:t>
              <w:br/>
            </w:r>
            <w:r>
              <w:rPr>
                <w:rFonts w:ascii="Inter" w:hAnsi="Inter"/>
                <w:b w:val="0"/>
                <w:color w:val="141C2C"/>
                <w:sz w:val="18"/>
              </w:rPr>
              <w:t>LM_MARKETPLACE_SCHEMA_56B1_READY=NO. Odpowiedź kancelarii nie uruchamia automatycznie kodowania; po aktualizacji gate register wymagany jest osobny Owner/Engineering readiness review.</w:t>
            </w:r>
          </w:p>
        </w:tc>
      </w:tr>
    </w:tbl>
    <w:p/>
    <w:p>
      <w:pPr>
        <w:pStyle w:val="Heading1"/>
      </w:pPr>
      <w:r>
        <w:t>12. Załącznik techniczny - scope granice</w:t>
      </w:r>
    </w:p>
    <w:tbl>
      <w:tblPr>
        <w:tblW w:type="auto" w:w="0"/>
        <w:jc w:val="left"/>
        <w:tblLayout w:type="fixed"/>
        <w:tblLook w:firstColumn="1" w:firstRow="1" w:lastColumn="0" w:lastRow="0" w:noHBand="0" w:noVBand="1" w:val="04A0"/>
      </w:tblPr>
      <w:tblGrid>
        <w:gridCol w:w="5100"/>
        <w:gridCol w:w="5100"/>
      </w:tblGrid>
      <w:tr>
        <w:tc>
          <w:tcPr>
            <w:tcW w:type="dxa" w:w="51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Pole</w:t>
            </w:r>
          </w:p>
        </w:tc>
        <w:tc>
          <w:tcPr>
            <w:tcW w:type="dxa" w:w="51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Treść</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56B1</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Seller Identity + Offer Contract Classification. Bez buyer gating, bez SellerOrder lifecycle, bez PSP.</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56B2</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Buyer Legal Context/B2B eligibility + MarketplaceOrder/SellerOrder + SellerAcceptanceDecision + E2/E6/E7 snapshots/timestamps.</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56B3</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PSP-neutral payments + preauth/capture/void/allocation + platform fee/settlement references.</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56B4</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Invoice responsibility/KSeF references if needed + refunds/chargebacks/disputes.</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56B6</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6"/>
              </w:rPr>
              <w:t>Audit + privacy + configurable retention. Bez hardcoded joint-controller classification.</w:t>
            </w:r>
          </w:p>
        </w:tc>
      </w:tr>
    </w:tbl>
    <w:p/>
    <w:p>
      <w:pPr>
        <w:pStyle w:val="Heading1"/>
      </w:pPr>
      <w:r>
        <w:t>13. Oficjalne źródła referencyjne</w:t>
      </w:r>
    </w:p>
    <w:p>
      <w:pPr>
        <w:pStyle w:val="ListBullet"/>
      </w:pPr>
      <w:r>
        <w:rPr>
          <w:rFonts w:ascii="Inter" w:hAnsi="Inter"/>
          <w:b w:val="0"/>
          <w:color w:val="141C2C"/>
          <w:sz w:val="19"/>
        </w:rPr>
        <w:t>Kodeks cywilny - aktualny tekst jednolity, Dz.U. 2026 poz. 795 (ELI).</w:t>
      </w:r>
    </w:p>
    <w:p>
      <w:pPr>
        <w:pStyle w:val="ListBullet"/>
      </w:pPr>
      <w:r>
        <w:rPr>
          <w:rFonts w:ascii="Inter" w:hAnsi="Inter"/>
          <w:b w:val="0"/>
          <w:color w:val="141C2C"/>
          <w:sz w:val="19"/>
        </w:rPr>
        <w:t>Regulation (EU) 2019/1150 - EUR-Lex, w szczególności recital 11 i art. 2.</w:t>
      </w:r>
    </w:p>
    <w:p>
      <w:pPr>
        <w:pStyle w:val="ListBullet"/>
      </w:pPr>
      <w:r>
        <w:rPr>
          <w:rFonts w:ascii="Inter" w:hAnsi="Inter"/>
          <w:b w:val="0"/>
          <w:color w:val="141C2C"/>
          <w:sz w:val="19"/>
        </w:rPr>
        <w:t>Regulation (EU) 2022/2065 (DSA) - EUR-Lex, w szczególności art. 15, 19, 24, 29 oraz odpowiednie Sections.</w:t>
      </w:r>
    </w:p>
    <w:p>
      <w:pPr>
        <w:pStyle w:val="ListBullet"/>
      </w:pPr>
      <w:r>
        <w:rPr>
          <w:rFonts w:ascii="Inter" w:hAnsi="Inter"/>
          <w:b w:val="0"/>
          <w:color w:val="141C2C"/>
          <w:sz w:val="19"/>
        </w:rPr>
        <w:t>Prawo komunikacji elektronicznej, Dz.U. 2024 poz. 1221 - art. 399 (ELI).</w:t>
      </w:r>
    </w:p>
    <w:p>
      <w:pPr>
        <w:pStyle w:val="ListBullet"/>
      </w:pPr>
      <w:r>
        <w:rPr>
          <w:rFonts w:ascii="Inter" w:hAnsi="Inter"/>
          <w:b w:val="0"/>
          <w:color w:val="141C2C"/>
          <w:sz w:val="19"/>
        </w:rPr>
        <w:t>Ministerstwo Finansów - KSeF: Zakres obowiązkowego KSeF; materiały dla podatników do 10 000 zł miesięcznie.</w:t>
      </w:r>
    </w:p>
    <w:p>
      <w:pPr>
        <w:pStyle w:val="ListBullet"/>
      </w:pPr>
      <w:r>
        <w:rPr>
          <w:rFonts w:ascii="Inter" w:hAnsi="Inter"/>
          <w:b w:val="0"/>
          <w:color w:val="141C2C"/>
          <w:sz w:val="19"/>
        </w:rPr>
        <w:t>RODO/GDPR - Regulation (EU) 2016/679 oraz EDPB Guidelines 07/2020 dotyczące controller/processor.</w:t>
      </w:r>
    </w:p>
    <w:tbl>
      <w:tblPr>
        <w:tblW w:type="auto" w:w="0"/>
        <w:tblLook w:firstColumn="1" w:firstRow="1" w:lastColumn="0" w:lastRow="0" w:noHBand="0" w:noVBand="1" w:val="04A0"/>
      </w:tblPr>
      <w:tblGrid>
        <w:gridCol w:w="10200"/>
      </w:tblGrid>
      <w:tr>
        <w:tc>
          <w:tcPr>
            <w:tcW w:type="dxa" w:w="10200"/>
            <w:shd w:fill="F0F0F0"/>
            <w:tcBorders>
              <w:top w:val="single" w:sz="7" w:color="147487"/>
              <w:left w:val="single" w:sz="7" w:color="147487"/>
              <w:bottom w:val="single" w:sz="7" w:color="147487"/>
              <w:right w:val="single" w:sz="7" w:color="147487"/>
              <w:insideH w:val="single" w:sz="7" w:color="147487"/>
              <w:insideV w:val="single" w:sz="7" w:color="147487"/>
            </w:tcBorders>
            <w:tcMar>
              <w:top w:w="120" w:type="dxa"/>
              <w:start w:w="130" w:type="dxa"/>
              <w:bottom w:w="120" w:type="dxa"/>
              <w:end w:w="130" w:type="dxa"/>
            </w:tcMar>
          </w:tcPr>
          <w:p>
            <w:r>
              <w:rPr>
                <w:rFonts w:ascii="Inter" w:hAnsi="Inter"/>
                <w:b/>
                <w:color w:val="141C2C"/>
                <w:sz w:val="18"/>
              </w:rPr>
              <w:t>Finalne zastrzeżenie</w:t>
              <w:br/>
            </w:r>
            <w:r>
              <w:rPr>
                <w:rFonts w:ascii="Inter" w:hAnsi="Inter"/>
                <w:b w:val="0"/>
                <w:color w:val="141C2C"/>
                <w:sz w:val="18"/>
              </w:rPr>
              <w:t>To Memo jest materiałem do formalnej weryfikacji. Prosimy nie traktować proposed statusów jako zamkniętych opinii. Gate closure wymaga autoryzowanego evidence zgodnie z projektem LogiMarket.</w:t>
            </w:r>
          </w:p>
        </w:tc>
      </w:tr>
    </w:tbl>
    <w:p/>
    <w:sectPr w:rsidR="00FC693F" w:rsidRPr="0006063C" w:rsidSect="00034616">
      <w:headerReference w:type="default" r:id="rId9"/>
      <w:footerReference w:type="default" r:id="rId10"/>
      <w:pgSz w:w="12240" w:h="15840"/>
      <w:pgMar w:top="935"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b w:val="0"/>
        <w:color w:val="5B6472"/>
        <w:sz w:val="15"/>
      </w:rPr>
      <w:t>Correction &amp; Confirmation Memo R2.1  •  materiał roboczy do formalnej weryfikacji</w:t>
    </w:r>
  </w:p>
  <w:p>
    <w:pPr>
      <w:jc w:val="right"/>
    </w:pPr>
    <w:r>
      <w:rPr>
        <w:rFonts w:ascii="Inter" w:hAnsi="Inter"/>
        <w:b w:val="0"/>
        <w:color w:val="5B6472"/>
        <w:sz w:val="16"/>
      </w:rPr>
      <w:t xml:space="preserve">Strona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color w:val="141C2C"/>
        <w:sz w:val="16"/>
      </w:rPr>
      <w:t>LOGIMARKET.EU  |  LEGAL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Inter" w:hAnsi="Inte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Inter" w:hAnsi="Inter"/>
      <w:b/>
      <w:bCs/>
      <w:color w:val="141C2C"/>
      <w:sz w:val="29"/>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Inter" w:hAnsi="Inter"/>
      <w:b/>
      <w:bCs/>
      <w:color w:val="14748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141C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b/>
      <w:color w:val="141C2C"/>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