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Inter" w:hAnsi="Inter"/>
          <w:b/>
          <w:i w:val="0"/>
          <w:color w:val="141C2C"/>
          <w:sz w:val="58"/>
        </w:rPr>
        <w:t>LOGIMARKET</w:t>
      </w:r>
      <w:r>
        <w:rPr>
          <w:rFonts w:ascii="Inter" w:hAnsi="Inter"/>
          <w:b/>
          <w:i w:val="0"/>
          <w:color w:val="147487"/>
          <w:sz w:val="58"/>
        </w:rPr>
        <w:t>.EU</w:t>
      </w:r>
    </w:p>
    <w:p>
      <w:r>
        <w:rPr>
          <w:rFonts w:ascii="Inter" w:hAnsi="Inter"/>
          <w:b/>
          <w:i w:val="0"/>
          <w:color w:val="147487"/>
          <w:sz w:val="16"/>
        </w:rPr>
        <w:t>CONSOLIDATED LEGAL COUNSEL DECISION RECORD</w:t>
      </w:r>
    </w:p>
    <w:p>
      <w:pPr>
        <w:pStyle w:val="Title"/>
      </w:pPr>
      <w:r>
        <w:t>Konsolidacja wszystkich ustaleń kancelarii prawnej</w:t>
      </w:r>
    </w:p>
    <w:p>
      <w:r>
        <w:rPr>
          <w:rFonts w:ascii="Inter" w:hAnsi="Inter"/>
          <w:b w:val="0"/>
          <w:i w:val="0"/>
          <w:color w:val="5B6472"/>
          <w:sz w:val="22"/>
        </w:rPr>
        <w:t>LogiMarket Marketplace B2B - model prawny, bramki, warunki wdrożeniowe i handoff do DPO/Tax/Engineering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7"/>
              </w:rPr>
              <w:t>Pole</w:t>
            </w:r>
          </w:p>
        </w:tc>
        <w:tc>
          <w:tcPr>
            <w:tcW w:type="dxa" w:w="6236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7"/>
              </w:rPr>
              <w:t>Stan</w:t>
            </w:r>
          </w:p>
        </w:tc>
      </w:tr>
      <w:tr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7"/>
              </w:rPr>
              <w:t>Status dokumentu</w:t>
            </w:r>
          </w:p>
        </w:tc>
        <w:tc>
          <w:tcPr>
            <w:tcW w:type="dxa" w:w="623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7"/>
              </w:rPr>
              <w:t>KONSOLIDACJA FINALNA - LEGAL COUNSEL WORKSTREAM</w:t>
            </w:r>
          </w:p>
        </w:tc>
      </w:tr>
      <w:tr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7"/>
              </w:rPr>
              <w:t>Stan na</w:t>
            </w:r>
          </w:p>
        </w:tc>
        <w:tc>
          <w:tcPr>
            <w:tcW w:type="dxa" w:w="623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7"/>
              </w:rPr>
              <w:t>9 sierpnia 2026 r.</w:t>
            </w:r>
          </w:p>
        </w:tc>
      </w:tr>
      <w:tr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7"/>
              </w:rPr>
              <w:t>Projekt</w:t>
            </w:r>
          </w:p>
        </w:tc>
        <w:tc>
          <w:tcPr>
            <w:tcW w:type="dxa" w:w="623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7"/>
              </w:rPr>
              <w:t>logimarket.eu / marketplace B2B</w:t>
            </w:r>
          </w:p>
        </w:tc>
      </w:tr>
      <w:tr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7"/>
              </w:rPr>
              <w:t>Baseline techniczny</w:t>
            </w:r>
          </w:p>
        </w:tc>
        <w:tc>
          <w:tcPr>
            <w:tcW w:type="dxa" w:w="623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7"/>
              </w:rPr>
              <w:t>main @ cd1de62625f6a95bb0ed8e651ab40b3544e41a5d</w:t>
            </w:r>
          </w:p>
        </w:tc>
      </w:tr>
      <w:tr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7"/>
              </w:rPr>
              <w:t>LEGAL_COUNSEL_WORKSTREAM_CLOSED</w:t>
            </w:r>
          </w:p>
        </w:tc>
        <w:tc>
          <w:tcPr>
            <w:tcW w:type="dxa" w:w="623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7"/>
              </w:rPr>
              <w:t>YES</w:t>
            </w:r>
          </w:p>
        </w:tc>
      </w:tr>
      <w:tr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7"/>
              </w:rPr>
              <w:t>LM_MARKETPLACE_SCHEMA_56B1_READY</w:t>
            </w:r>
          </w:p>
        </w:tc>
        <w:tc>
          <w:tcPr>
            <w:tcW w:type="dxa" w:w="623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7"/>
              </w:rPr>
              <w:t>NO - wymaga odrębnego readiness review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0F0F0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Inter" w:hAnsi="Inter"/>
                <w:b/>
                <w:i w:val="0"/>
                <w:color w:val="141C2C"/>
                <w:sz w:val="18"/>
              </w:rPr>
              <w:t>Charakter dokumentu</w:t>
              <w:br/>
            </w:r>
            <w:r>
              <w:rPr>
                <w:rFonts w:ascii="Inter" w:hAnsi="Inter"/>
                <w:b w:val="0"/>
                <w:i w:val="0"/>
                <w:color w:val="141C2C"/>
                <w:sz w:val="18"/>
              </w:rPr>
              <w:t>Dokument konsoliduje formalne odpowiedzi kancelarii, kolejne korekty/erraty oraz zatwierdzoną normalizację Owner/Engineering. Nie zastępuje źródłowych opinii prawnych. W razie konfliktu pierwszeństwo ma najnowsza formalna odpowiedź kancelarii oraz obowiązujący tekst aktu prawnego.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Inter" w:hAnsi="Inter"/>
          <w:b w:val="0"/>
          <w:i w:val="0"/>
          <w:color w:val="141C2C"/>
          <w:sz w:val="18"/>
        </w:rPr>
        <w:t>Etap kancelarii prawnej został zamknięty. Kancelaria potwierdziła zasadniczy model intermediary-first: Partner pozostaje sprzedawcą towaru, LogiMarket działa jako pośrednik/agent agencyjny bez umocowania do zawierania umów sprzedaży w imieniu Partnera, a umowa sprzedaży powstaje pomiędzy Partnerem a Kupującym.</w:t>
      </w:r>
    </w:p>
    <w:p>
      <w:r>
        <w:rPr>
          <w:rFonts w:ascii="Inter" w:hAnsi="Inter"/>
          <w:b w:val="0"/>
          <w:i w:val="0"/>
          <w:color w:val="141C2C"/>
          <w:sz w:val="18"/>
        </w:rPr>
        <w:t>Zamknięcie Workstream Legal nie oznacza pełnej gotowości produkcyjnej ani automatycznego odblokowania schematu 56B1. Nadal wymagane są odrębne działania DPO/privacy, Tax/DAC7, evidence konkretnego PSP oraz Owner/Engineering Readiness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Gate</w:t>
            </w:r>
          </w:p>
        </w:tc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Status finalny</w:t>
            </w:r>
          </w:p>
        </w:tc>
        <w:tc>
          <w:tcPr>
            <w:tcW w:type="dxa" w:w="5102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Znaczenie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LEG-MKT-01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Agencja pośrednicząca art. 758 §1; brak umocowania do zawierania umów; brak del credere domyślnie.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LEG-MKT-02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E2 = oferta Kupującego; E7 = jawna akceptacja Partnera / moment zawarcia; capture po E7.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LEG-MKT-03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Seller identity/disclosure przed konwersją; rozdzielenie danych publicznych/pre-conversion od KYB.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LEG-MKT-04 / P2B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NOT_APPLICABLE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Przy rzeczywistym pure B2B nieoferowanym konsumentom; ponowny review przy B2C.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DSA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Hosting/online platform dla treści Partnerów; art. 14 i Section 2; SME exemptions wg statusu.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LEG-MKT-08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B2B identity gating; oświadczenie o zawodowym charakterze fakultatywne; PKD pomocnicze.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LEG-MKT-09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Kierunek privacy ustalony, ale DPO sign-off nadal wymagany.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OMQ-MKT-01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E-commerce contract formation zgodnie z E2-&gt;E7.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OMQ-MKT-02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RFQ = negocjacje; quotation niewiążąca przy właściwym zastrzeżeniu.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OMQ-MKT-11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Retencja/RODO - finalny DPO sign-off i enforcement przed go-live.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VAT/KSeF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FA(3); przy zakładanym &gt;10k zł - KSeF issuing od 1.04.2026; odbiór od 1.02.2026.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DAC7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MORE_FACTS_REQUIRED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Odrębny Tax Advisor sign-off dla e-commerce/RFQ/outbound.</w:t>
            </w:r>
          </w:p>
        </w:tc>
      </w:tr>
      <w:tr>
        <w:tc>
          <w:tcPr>
            <w:tcW w:type="dxa" w:w="170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PSP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APPROVED_WITH_CONDITIONS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Licensed PSP, direct payout/connected accounts; zero self-custody/escrow LogiMarket.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FF4D6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Inter" w:hAnsi="Inter"/>
                <w:b/>
                <w:i w:val="0"/>
                <w:color w:val="141C2C"/>
                <w:sz w:val="18"/>
              </w:rPr>
              <w:t>Najważniejsza zasada architektoniczna</w:t>
              <w:br/>
            </w:r>
            <w:r>
              <w:rPr>
                <w:rFonts w:ascii="Inter" w:hAnsi="Inter"/>
                <w:b w:val="0"/>
                <w:i w:val="0"/>
                <w:color w:val="141C2C"/>
                <w:sz w:val="18"/>
              </w:rPr>
              <w:t>Kwalifikacja umowy LogiMarket-Partner jako agencyjnej jest odrębną osią od istniejącego offerModel + conversionType i od projektowego contractModel oferty. Nie wolno zastępować canonical offer behavior wartością typu AGENCY.</w:t>
            </w:r>
          </w:p>
        </w:tc>
      </w:tr>
    </w:tbl>
    <w:p>
      <w:pPr>
        <w:spacing w:after="0"/>
      </w:pPr>
    </w:p>
    <w:p>
      <w:pPr>
        <w:pStyle w:val="Heading1"/>
      </w:pPr>
      <w:r>
        <w:t>2. Zatwierdzony model biznesowy, który kancelaria opiniowała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Obszar</w:t>
            </w:r>
          </w:p>
        </w:tc>
        <w:tc>
          <w:tcPr>
            <w:tcW w:type="dxa" w:w="6803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Decyzja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Kupujący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B2B_ONLY; brak zamierzonego B2C w MVP.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Geografia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E-commerce MVP: Polska. RFQ: Polska + UE. Outbound: transakcja poza LogiMarket.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Sprzedawca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Partner jest sprzedawcą kontraktowym towaru.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Rola LogiMarket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Platforma/pośrednik; po finalnej kwalifikacji - agent pośredniczący bez umocowania do zawierania sprzedaży w imieniu Partnera.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Checkout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Order intent/oferta Kupującego; Partner jawnie akceptuje albo odrzuca.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Płatność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Target: checkout -&gt; preautoryzacja -&gt; E7 Partner acceptance -&gt; capture przez licencjonowany PSP.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RFQ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Proces negocjacyjny; quotation domyślnie niewiążąca przy wyraźnym zastrzeżeniu.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Monetyzacja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Success fee/prowizja od Partnera; LogiMarket wystawia fakturę za usługę platformową, nie za towar.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Ranking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Manualny/redakcyjny; brak paid ranking i automated partner scoring w MVP.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Publikacja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Centralna moderacja/admin; brak automatycznej rejestracji vendora i self-publishingu.</w:t>
            </w:r>
          </w:p>
        </w:tc>
      </w:tr>
    </w:tbl>
    <w:p>
      <w:pPr>
        <w:spacing w:after="20"/>
      </w:pPr>
    </w:p>
    <w:p>
      <w:pPr>
        <w:pStyle w:val="Heading1"/>
      </w:pPr>
      <w:r>
        <w:t>3. LEG-MKT-01 - kwalifikacja relacji LogiMarket-Partner</w:t>
      </w:r>
    </w:p>
    <w:p>
      <w:pPr>
        <w:pStyle w:val="Heading2"/>
      </w:pPr>
      <w:r>
        <w:t>3.1. Finalna kwalifikacja</w:t>
      </w:r>
    </w:p>
    <w:p>
      <w:r>
        <w:rPr>
          <w:rFonts w:ascii="Inter" w:hAnsi="Inter"/>
          <w:b w:val="0"/>
          <w:i w:val="0"/>
          <w:color w:val="141C2C"/>
          <w:sz w:val="18"/>
        </w:rPr>
        <w:t>Kancelaria ostatecznie zakwalifikowała relację LogiMarket-Partner jako możliwą umowę agencyjną w wariancie pośredniczącym z art. 758 §1 KC: stałe, odpłatne pośredniczenie przy zawieraniu umów, bez umocowania LogiMarket do zawierania umów sprzedaży w imieniu Partnera.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Partner pozostaje stroną umowy sprzedaży i seller of record.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LogiMarket nie nabywa towaru, nie przejmuje własności ani ryzyka towarowego.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LogiMarket nie wystawia faktury za towar; fakturę towarową wystawia Partner.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LogiMarket nie przyjmuje środków Kupującego na własny rachunek i nie prowadzi własnego escrow/self-custody.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Success fee/prowizja jest wynagrodzeniem za pośrednictwo agencyjne.</w:t>
      </w:r>
    </w:p>
    <w:p>
      <w:pPr>
        <w:pStyle w:val="Heading2"/>
      </w:pPr>
      <w:r>
        <w:t>3.2. Del credere - wyłączone w modelu bazowym</w:t>
      </w:r>
    </w:p>
    <w:p>
      <w:r>
        <w:rPr>
          <w:rFonts w:ascii="Inter" w:hAnsi="Inter"/>
          <w:b w:val="0"/>
          <w:i w:val="0"/>
          <w:color w:val="141C2C"/>
          <w:sz w:val="18"/>
        </w:rPr>
        <w:t>Kancelaria potwierdziła, że odpowiedzialność agenta za wykonanie zobowiązania przez klienta jest klauzulą del credere z art. 761^7 KC. W modelu bazowym LogiMarket jej nie zastrzega.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Brak domyślnej odpowiedzialności LogiMarket za to, czy Kupujący wykona swoje zobowiązanie wobec Partnera.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Del credere wymaga pisemnego zastrzeżenia, określonego zakresu oraz odrębnego wynagrodzenia.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Jeżeli w przyszłości pojawi się gwarancja zapłaty jako produkt premium, wymaga osobnego legal/payment review.</w:t>
      </w:r>
    </w:p>
    <w:p>
      <w:pPr>
        <w:pStyle w:val="Heading2"/>
      </w:pPr>
      <w:r>
        <w:t>3.3. Obowiązki dla umowy partnerskiej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jednoznacznie określić agencyjny wariant pośredniczący i brak umocowania do zawierania sprzedaży w imieniu Partnera;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opisać success fee/prowizję i zasady jej naliczania;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przypisać Partnerowi odpowiedzialność za towar, specyfikację, cenę, dostępność, fakturę, dostawę i obsługę reklamacji towarowych;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określić moderację, zawieszenia, treści ofert, IP/licencję i zasady rozwiązania współpracy;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nie wprowadzać del credere w bazowym MVP;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przy finalnym draftingu jeszcze raz sprawdzić właściwe jednostki redakcyjne dotyczące wypowiedzenia, świadczenia wyrównawczego i ewentualnego zakazu konkurencji po rozwiązaniu - to nie blokuje architektury.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FF4D6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Inter" w:hAnsi="Inter"/>
                <w:b/>
                <w:i w:val="0"/>
                <w:color w:val="141C2C"/>
                <w:sz w:val="18"/>
              </w:rPr>
              <w:t>Do not regress</w:t>
              <w:br/>
            </w:r>
            <w:r>
              <w:rPr>
                <w:rFonts w:ascii="Inter" w:hAnsi="Inter"/>
                <w:b w:val="0"/>
                <w:i w:val="0"/>
                <w:color w:val="141C2C"/>
                <w:sz w:val="18"/>
              </w:rPr>
              <w:t>Nie wracać do odrzuconych tez: art. 540 KC jako podstawa pośrednictwa; „agencja wymaga zawsze umocowania”; automatyczna odpowiedzialność LogiMarket za solidność Kupującego.</w:t>
            </w:r>
          </w:p>
        </w:tc>
      </w:tr>
    </w:tbl>
    <w:p>
      <w:pPr>
        <w:spacing w:after="0"/>
      </w:pPr>
    </w:p>
    <w:p>
      <w:pPr>
        <w:pStyle w:val="Heading1"/>
      </w:pPr>
      <w:r>
        <w:t>4. LEG-MKT-02 / OMQ-MKT-01 - zawarcie umowy e-commerce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737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94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Zdarzenie</w:t>
            </w:r>
          </w:p>
        </w:tc>
        <w:tc>
          <w:tcPr>
            <w:tcW w:type="dxa" w:w="5839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Finalna kwalifikacja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E1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Koszyk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Czynność techniczna; brak skutku kontraktowego.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E2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Submit checkout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Oferta Kupującego, jeżeli zawiera istotne elementy transakcji.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E3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Receipt acknowledgement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Potwierdzenie techniczne otrzymania; nie jest akceptacją sprzedaży.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E4/E5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Payment init / preauth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Czynność PSP; brak skutku dla zawarcia umowy.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E6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Routing do Partnera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Przekazanie techniczne; nie jest akceptacją.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E7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Jawna akceptacja Partnera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Docelowy moment przyjęcia oferty i zawarcia umowy.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E8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Fulfillment/wysyłka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Dopuszczalne dopiero po E7; system ma blokować fulfillment przed E7.</w:t>
            </w:r>
          </w:p>
        </w:tc>
      </w:tr>
      <w:tr>
        <w:tc>
          <w:tcPr>
            <w:tcW w:type="dxa" w:w="73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E9</w:t>
            </w:r>
          </w:p>
        </w:tc>
        <w:tc>
          <w:tcPr>
            <w:tcW w:type="dxa" w:w="249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Confirmation</w:t>
            </w:r>
          </w:p>
        </w:tc>
        <w:tc>
          <w:tcPr>
            <w:tcW w:type="dxa" w:w="583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Rekomendowane potwierdzenie zawarcia umowy w UI/email po E7.</w:t>
            </w:r>
          </w:p>
        </w:tc>
      </w:tr>
    </w:tbl>
    <w:p>
      <w:pPr>
        <w:spacing w:after="20"/>
      </w:pPr>
    </w:p>
    <w:p>
      <w:pPr>
        <w:pStyle w:val="Heading2"/>
      </w:pPr>
      <w:r>
        <w:t>4.1. Klauzule zabezpieczające E7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Art. 68^2 KC analizować dla relacji Kupujący-Partner, gdy istnieją stałe stosunki gospodarcze między tymi stronami.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Regulamin/checkout/umowa Partnera mają jasno stanowić, że milczenie Partnera nie stanowi przyjęcia oferty.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Przystąpienie do wykonania przed E7 nie ma być traktowane jako dopuszczalny systemowo sposób akceptacji; UI i workflow muszą wymuszać jawne E7.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Brak E7 w terminie -&gt; brak umowy / status EXPIRED, zgodnie z finalnym projektowym state machine.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Capture dopiero po E7, z zastrzeżeniem capability konkretnego PSP.</w:t>
      </w:r>
    </w:p>
    <w:p>
      <w:pPr>
        <w:pStyle w:val="Heading2"/>
      </w:pPr>
      <w:r>
        <w:t>4.2. Architektura</w:t>
      </w:r>
    </w:p>
    <w:p>
      <w:r>
        <w:rPr>
          <w:rFonts w:ascii="Inter" w:hAnsi="Inter"/>
          <w:b w:val="0"/>
          <w:i w:val="0"/>
          <w:color w:val="141C2C"/>
          <w:sz w:val="18"/>
        </w:rPr>
        <w:t>State machine zamówienia, SellerAcceptanceDecision oraz znaczniki E2/E6/E7 należą do 56B2. Preauth/capture/void/release należą do 56B3. Nie wolno przenosić tych elementów do 56B1.</w:t>
      </w:r>
    </w:p>
    <w:p>
      <w:pPr>
        <w:pStyle w:val="Heading1"/>
      </w:pPr>
      <w:r>
        <w:t>5. OMQ-MKT-02 - RFQ i niewiążąca quotation</w:t>
      </w:r>
    </w:p>
    <w:p>
      <w:r>
        <w:rPr>
          <w:rFonts w:ascii="Inter" w:hAnsi="Inter"/>
          <w:b w:val="0"/>
          <w:i w:val="0"/>
          <w:color w:val="141C2C"/>
          <w:sz w:val="18"/>
        </w:rPr>
        <w:t>RFQ pozostaje procesem negocjacyjnym/rokowaniami. Samo złożenie RFQ ani odpowiedź cenowa Partnera nie mają automatycznie tworzyć umowy sprzedaży.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Wycena Partnera powinna zawierać jasne zastrzeżenie, że ma charakter informacyjny i nie stanowi oferty w rozumieniu art. 66 KC, jeśli taki ma być jej model biznesowy.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Nie używać CTA „Akceptuję wycenę”, jeśli miałoby ono sugerować automatyczne zawarcie umowy.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Preferowane CTA: „Poproś o ofertę” / „Rozpocznij zamówienie” i przejście do jednoznacznego flow kontraktowego.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RFQ nie korzysta z koszyka ani payment flow w obecnym MVP.</w:t>
      </w:r>
    </w:p>
    <w:p>
      <w:pPr>
        <w:pStyle w:val="Heading1"/>
      </w:pPr>
      <w:r>
        <w:t>6. LEG-MKT-03 - seller identity i disclosure</w:t>
      </w:r>
    </w:p>
    <w:p>
      <w:r>
        <w:rPr>
          <w:rFonts w:ascii="Inter" w:hAnsi="Inter"/>
          <w:b w:val="0"/>
          <w:i w:val="0"/>
          <w:color w:val="141C2C"/>
          <w:sz w:val="18"/>
        </w:rPr>
        <w:t>Kancelaria zatwierdziła obowiązek jednoznacznej identyfikacji Partnera/sprzedawcy przed konwersją i rozdzielenie danych transakcyjnych od wewnętrznego KYB.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Pole</w:t>
            </w:r>
          </w:p>
        </w:tc>
        <w:tc>
          <w:tcPr>
            <w:tcW w:type="dxa" w:w="2381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Klasyfikacja</w:t>
            </w:r>
          </w:p>
        </w:tc>
        <w:tc>
          <w:tcPr>
            <w:tcW w:type="dxa" w:w="4422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Zasada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Nazwa prawna sprzedawcy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Widoczna przed RFQ/checkout; rekomendowane również na ofercie/profilu.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NIP / VAT ID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Identyfikacja kontrahenta/podatkowa; nie traktować jako jedynego możliwego rejestru UE.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Adres siedziby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Identyfikacja i kontakt kontraktowy.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E-mail firmowy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Kontakt transakcyjny.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Telefon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RECOMMENDED_BEST_PRACTICE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Nie musi być obowiązkowo publiczny.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KRS / REGON / registry no.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RECOMMENDED_BEST_PRACTICE + KYB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Publiczne opcjonalnie; verification wewnętrzna.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Wystawca faktury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Partner, nie LogiMarket.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Dostawa / fulfillment owner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Partner lub podmiot wskazany przez Partnera.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Reklamacje towarowe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Partner jako odpowiedzialny za towar.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Rola LogiMarket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CONTRACTUALLY_REQUIRED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Pośrednik/platforma; nie sprzedawca.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IBAN / dokumenty rejestrowe / dane rozszerzone KYB</w:t>
            </w:r>
          </w:p>
        </w:tc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INTERNAL_KYB_ONLY</w:t>
            </w:r>
          </w:p>
        </w:tc>
        <w:tc>
          <w:tcPr>
            <w:tcW w:type="dxa" w:w="442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Nie publikować automatycznie.</w:t>
            </w:r>
          </w:p>
        </w:tc>
      </w:tr>
    </w:tbl>
    <w:p>
      <w:pPr>
        <w:spacing w:after="20"/>
      </w:pPr>
    </w:p>
    <w:p>
      <w:r>
        <w:rPr>
          <w:rFonts w:ascii="Inter" w:hAnsi="Inter"/>
          <w:b w:val="0"/>
          <w:i w:val="0"/>
          <w:color w:val="141C2C"/>
          <w:sz w:val="18"/>
        </w:rPr>
        <w:t>56B1 obejmuje foundation SellerLegalIdentity i offer-to-seller assignment. Immutable seller disclosure snapshots transakcji należą najwcześniej do 56B2.</w:t>
      </w:r>
    </w:p>
    <w:p>
      <w:pPr>
        <w:pStyle w:val="Heading1"/>
      </w:pPr>
      <w:r>
        <w:t>7. LEG-MKT-04 / P2B oraz DSA</w:t>
      </w:r>
    </w:p>
    <w:p>
      <w:pPr>
        <w:pStyle w:val="Heading2"/>
      </w:pPr>
      <w:r>
        <w:t>7.1. P2B</w:t>
      </w:r>
    </w:p>
    <w:p>
      <w:r>
        <w:rPr>
          <w:rFonts w:ascii="Inter" w:hAnsi="Inter"/>
          <w:b w:val="0"/>
          <w:i w:val="0"/>
          <w:color w:val="141C2C"/>
          <w:sz w:val="18"/>
        </w:rPr>
        <w:t>Formalny wynik kancelarii: Regulation (EU) 2019/1150 nie ma zastosowania do rzeczywistego pure B2B online intermediation nieoferowanego konsumentom. Status pozostaje NOT_APPLICABLE tak długo, jak LogiMarket utrzymuje B2B-only.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Nie budować dedykowanego P2B schema/workflow jako obowiązkowego elementu MVP.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Mimo braku obowiązku prawnego utrzymać jako best practice: skargi Partnerów, uzasadnienia zawieszeń, transparentność kryteriów rankingu, rozsądne zasady zmian umowy i mediacji.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Future B2C = automatyczne ponowne otwarcie P2B/consumer/DSA/tax gate.</w:t>
      </w:r>
    </w:p>
    <w:p>
      <w:pPr>
        <w:pStyle w:val="Heading2"/>
      </w:pPr>
      <w:r>
        <w:t>7.2. DSA</w:t>
      </w:r>
    </w:p>
    <w:p>
      <w:r>
        <w:rPr>
          <w:rFonts w:ascii="Inter" w:hAnsi="Inter"/>
          <w:b w:val="0"/>
          <w:i w:val="0"/>
          <w:color w:val="141C2C"/>
          <w:sz w:val="18"/>
        </w:rPr>
        <w:t>Dla treści ofert dostarczanych przez Partnerów i przechowywanych/prezentowanych na ich żądanie kancelaria kwalifikuje LogiMarket co najmniej jako hosting, a najprawdopodobniej jako online platform. Treści tworzone przez sam LogiMarket pozostają jego własną odpowiedzialnością redakcyjną.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Terms and Conditions / zasady moderacji: art. 14 DSA.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Hosting duties: notice &amp; action (art. 16), statement of reasons (art. 17), notification of authorities (art. 18) - nie są automatycznie wyłączone przez SME exemption art. 19.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Dodatkowe obowiązki Section 3/4 zależą od statusu mikro/małego przedsiębiorstwa i faktycznego consumer exposure; art. 19 i art. 29 mają odrębne mechanizmy wyłączeń.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MVP: brak paid ranking, brak automated partner scoring, brak sponsored placements. Ręczny ranking nie tworzy obecnie automatycznego recommender system requirement.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Ewentualne metadata typu OfferContentSource = PARTNER / LOGIMARKET / MIXED są candidate requirement; ich dodanie wymaga Engineering Review, nie następuje automatycznie z opinii prawnej.</w:t>
      </w:r>
    </w:p>
    <w:p>
      <w:pPr>
        <w:pStyle w:val="Heading1"/>
      </w:pPr>
      <w:r>
        <w:t>8. LEG-MKT-08 - B2B-only gating i JDG z ochroną konsumencką</w:t>
      </w:r>
    </w:p>
    <w:p>
      <w:r>
        <w:rPr>
          <w:rFonts w:ascii="Inter" w:hAnsi="Inter"/>
          <w:b w:val="0"/>
          <w:i w:val="0"/>
          <w:color w:val="141C2C"/>
          <w:sz w:val="18"/>
        </w:rPr>
        <w:t>Po kolejnych korektach kancelaria potwierdziła, że platforma może weryfikować biznesową tożsamość użytkownika, ale nie powinna uzależniać możliwości zawarcia umowy od obowiązkowego oświadczenia o zawodowym charakterze transakcji.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Element</w:t>
            </w:r>
          </w:p>
        </w:tc>
        <w:tc>
          <w:tcPr>
            <w:tcW w:type="dxa" w:w="1814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4989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Finalna zasada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Business identity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WYMAGANE</w:t>
            </w:r>
          </w:p>
        </w:tc>
        <w:tc>
          <w:tcPr>
            <w:tcW w:type="dxa" w:w="498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PL e-commerce: NIP + dane rejestrowe/verification. RFQ UE: VAT ID/VIES, gdy ma zastosowanie, albo alternatywny registry identifier.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Professional-purpose declaration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FAKULTATYWNE</w:t>
            </w:r>
          </w:p>
        </w:tc>
        <w:tc>
          <w:tcPr>
            <w:tcW w:type="dxa" w:w="498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Może być informacyjne/pomocnicze. Brak oświadczenia nie blokuje checkoutu tylko z tej przyczyny.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PKD / CEIDG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EVIDENCE / RISK SIGNAL</w:t>
            </w:r>
          </w:p>
        </w:tc>
        <w:tc>
          <w:tcPr>
            <w:tcW w:type="dxa" w:w="498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Pomocniczy dowód profilu działalności; nie automatyczny legal classifier.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Seller review przed E7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DOZWOLONE</w:t>
            </w:r>
          </w:p>
        </w:tc>
        <w:tc>
          <w:tcPr>
            <w:tcW w:type="dxa" w:w="498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Partner może ocenić ryzyko i odrzucić ofertę przed zawarciem umowy.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VAT UE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NIE UNIWERSALNY B2B GATE</w:t>
            </w:r>
          </w:p>
        </w:tc>
        <w:tc>
          <w:tcPr>
            <w:tcW w:type="dxa" w:w="498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Brak VIES nie oznacza automatycznie braku statusu przedsiębiorcy.</w:t>
            </w:r>
          </w:p>
        </w:tc>
      </w:tr>
    </w:tbl>
    <w:p>
      <w:pPr>
        <w:spacing w:after="20"/>
      </w:pPr>
    </w:p>
    <w:p>
      <w:pPr>
        <w:pStyle w:val="Heading2"/>
      </w:pPr>
      <w:r>
        <w:t>8.1. Kategorie kupujących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680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Kat.</w:t>
            </w:r>
          </w:p>
        </w:tc>
        <w:tc>
          <w:tcPr>
            <w:tcW w:type="dxa" w:w="419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Opis</w:t>
            </w:r>
          </w:p>
        </w:tc>
        <w:tc>
          <w:tcPr>
            <w:tcW w:type="dxa" w:w="419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Reżim</w:t>
            </w:r>
          </w:p>
        </w:tc>
      </w:tr>
      <w:tr>
        <w:tc>
          <w:tcPr>
            <w:tcW w:type="dxa" w:w="68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A</w:t>
            </w:r>
          </w:p>
        </w:tc>
        <w:tc>
          <w:tcPr>
            <w:tcW w:type="dxa" w:w="419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Osoba fizyczna - czynność niezwiązana bezpośrednio z działalnością</w:t>
            </w:r>
          </w:p>
        </w:tc>
        <w:tc>
          <w:tcPr>
            <w:tcW w:type="dxa" w:w="419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Konsument; w current B2B-only nie jest targetem.</w:t>
            </w:r>
          </w:p>
        </w:tc>
      </w:tr>
      <w:tr>
        <w:tc>
          <w:tcPr>
            <w:tcW w:type="dxa" w:w="68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B</w:t>
            </w:r>
          </w:p>
        </w:tc>
        <w:tc>
          <w:tcPr>
            <w:tcW w:type="dxa" w:w="419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JDG - transakcja związana z działalnością, lecz niezawodowa</w:t>
            </w:r>
          </w:p>
        </w:tc>
        <w:tc>
          <w:tcPr>
            <w:tcW w:type="dxa" w:w="419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Przedsiębiorca z wybranymi prawami konsumenckimi z art. 7aa u.p.k. + art. 385^5 KC.</w:t>
            </w:r>
          </w:p>
        </w:tc>
      </w:tr>
      <w:tr>
        <w:tc>
          <w:tcPr>
            <w:tcW w:type="dxa" w:w="680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C</w:t>
            </w:r>
          </w:p>
        </w:tc>
        <w:tc>
          <w:tcPr>
            <w:tcW w:type="dxa" w:w="419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JDG / inny przedsiębiorca - transakcja zawodowa</w:t>
            </w:r>
          </w:p>
        </w:tc>
        <w:tc>
          <w:tcPr>
            <w:tcW w:type="dxa" w:w="419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Zwykły reżim B2B.</w:t>
            </w:r>
          </w:p>
        </w:tc>
      </w:tr>
    </w:tbl>
    <w:p>
      <w:pPr>
        <w:spacing w:after="20"/>
      </w:pPr>
    </w:p>
    <w:p>
      <w:pPr>
        <w:pStyle w:val="Heading2"/>
      </w:pPr>
      <w:r>
        <w:t>8.2. Prawa kategorii B - zakres przyjęty do projektu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Art. 7aa odsyła do rozdziałów 4, 5a i 5b ustawy o prawach konsumenta; nie do całego rozdziału informacyjnego 3.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Rozdział 4: prawo odstąpienia od umowy zawartej na odległość/poza lokalem, zgodnie z zakresem ustawy.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Rozdział 5a: niezgodność towaru z umową / prawa ochronne dotyczące towaru.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Rozdział 5b: formalnie objęty odesłaniem, praktycznie marginalny dla bazowego modelu towarów fizycznych.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Ochrona przed klauzulami niedozwolonymi wynika odrębnie z art. 385^5 KC.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Aktualny art. 7aa ust. 2 i art. 385^5 §1^1: oświadczenie o zawodowym charakterze może zostać złożone, ale druga strona nie może uzależniać zawarcia umowy od jego złożenia.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FF4D6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Inter" w:hAnsi="Inter"/>
                <w:b/>
                <w:i w:val="0"/>
                <w:color w:val="141C2C"/>
                <w:sz w:val="18"/>
              </w:rPr>
              <w:t>Engineering rule dla 56B2</w:t>
              <w:br/>
            </w:r>
            <w:r>
              <w:rPr>
                <w:rFonts w:ascii="Inter" w:hAnsi="Inter"/>
                <w:b w:val="0"/>
                <w:i w:val="0"/>
                <w:color w:val="141C2C"/>
                <w:sz w:val="18"/>
              </w:rPr>
              <w:t>BuyerLegalContext ma przechowywać business identity + verification evidence + opcjonalne professional-purpose evidence. Nie implementować „required professional-purpose checkbox” ani „PKD match = prawna kategoria C”.</w:t>
            </w:r>
          </w:p>
        </w:tc>
      </w:tr>
    </w:tbl>
    <w:p>
      <w:pPr>
        <w:spacing w:after="0"/>
      </w:pPr>
    </w:p>
    <w:p>
      <w:pPr>
        <w:pStyle w:val="Heading1"/>
      </w:pPr>
      <w:r>
        <w:t>9. LEG-MKT-09 / OMQ-MKT-11 - RODO, privacy, retencja i cookie</w:t>
      </w:r>
    </w:p>
    <w:p>
      <w:r>
        <w:rPr>
          <w:rFonts w:ascii="Inter" w:hAnsi="Inter"/>
          <w:b w:val="0"/>
          <w:i w:val="0"/>
          <w:color w:val="141C2C"/>
          <w:sz w:val="18"/>
        </w:rPr>
        <w:t>Kancelaria zamknęła własną część analizy jako APPROVED_WITH_CONDITIONS, ale finalny Data Protection sign-off pozostaje zadaniem DPO. To rozdzielenie musi pozostać jawne.</w:t>
      </w:r>
    </w:p>
    <w:p>
      <w:pPr>
        <w:pStyle w:val="Heading2"/>
      </w:pPr>
      <w:r>
        <w:t>9.1. Role i podstawy - stan kierunkowy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Aktywność</w:t>
            </w:r>
          </w:p>
        </w:tc>
        <w:tc>
          <w:tcPr>
            <w:tcW w:type="dxa" w:w="283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Rola kierunkowa</w:t>
            </w:r>
          </w:p>
        </w:tc>
        <w:tc>
          <w:tcPr>
            <w:tcW w:type="dxa" w:w="3969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Warunek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Checkout / RFQ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LogiMarket = administrator obecnego collection flow</w:t>
            </w:r>
          </w:p>
        </w:tc>
        <w:tc>
          <w:tcPr>
            <w:tcW w:type="dxa" w:w="396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Future Partner role ustalić per processing operation; bez hardcoded joint controllership.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Admin auth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LogiMarket = administrator</w:t>
            </w:r>
          </w:p>
        </w:tc>
        <w:tc>
          <w:tcPr>
            <w:tcW w:type="dxa" w:w="396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Security/access control; Supabase jako processor do formalnej weryfikacji dokumentów.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Outbound clicks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LogiMarket = administrator</w:t>
            </w:r>
          </w:p>
        </w:tc>
        <w:tc>
          <w:tcPr>
            <w:tcW w:type="dxa" w:w="396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Legitimate interest/LIA - finalny DPO sign-off.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Cart/session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LogiMarket = administrator</w:t>
            </w:r>
          </w:p>
        </w:tc>
        <w:tc>
          <w:tcPr>
            <w:tcW w:type="dxa" w:w="396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Precontractual/session purpose; cookie assessment osobno.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Partner contacts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LogiMarket = administrator</w:t>
            </w:r>
          </w:p>
        </w:tc>
        <w:tc>
          <w:tcPr>
            <w:tcW w:type="dxa" w:w="3969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B2B contacts nadal mogą być danymi osobowymi.</w:t>
            </w:r>
          </w:p>
        </w:tc>
      </w:tr>
    </w:tbl>
    <w:p>
      <w:pPr>
        <w:spacing w:after="20"/>
      </w:pPr>
    </w:p>
    <w:p>
      <w:pPr>
        <w:pStyle w:val="Heading2"/>
      </w:pPr>
      <w:r>
        <w:t>9.2. Obowiązkowe działania privacy przed go-live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przebudować RFQ wording: nie używać „zgody na przetwarzanie” jako podstawy core RFQ; zastosować właściwą klauzulę informacyjną;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pełna informacja art. 13 dla checkout/RFQ;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DPA z Supabase, lista subprocesorów, region przetwarzania i analiza transferów/DPF/SCC/TIA odpowiednio do stanu faktycznego;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ROPA, LIA tam gdzie używany legitimate interest, DSAR i breach-response procedure;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finalna polityka retencji z realnym delete/anonymise enforcement;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osobne ustalenie roli LogiMarket/Partner przed pierwszym produkcyjnym przekazaniem buyer PII do Partnera;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DPIA screening i ponowny screening przy przyszłym scoringu/profilowaniu lub zmianach payment data.</w:t>
      </w:r>
    </w:p>
    <w:p>
      <w:pPr>
        <w:pStyle w:val="Heading2"/>
      </w:pPr>
      <w:r>
        <w:t>9.3. Retencja - wartości z opinii do potwierdzenia przez DPO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Dataset</w:t>
            </w:r>
          </w:p>
        </w:tc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Counsel proposed retention</w:t>
            </w:r>
          </w:p>
        </w:tc>
        <w:tc>
          <w:tcPr>
            <w:tcW w:type="dxa" w:w="453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Uwagi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cart_items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sesja / max 30 dni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cleanup porzuconych rekordów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orders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3 lata PII / 5 lat elementy księgowe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od finalnego statusu, z anonimizacją/usunięciem gdzie możliwe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rfq_leads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12 miesięcy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od ostatniej aktywności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clicks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12 miesięcy raw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agregaty anonimowe mogą mieć inny okres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auth/accounts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rola + 6 mies.; logi 12 mies.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offboarding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partner contacts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współpraca + 3 lata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plus odrębne wymogi księgowe, jeśli dotyczą</w:t>
            </w:r>
          </w:p>
        </w:tc>
      </w:tr>
    </w:tbl>
    <w:p>
      <w:pPr>
        <w:spacing w:after="20"/>
      </w:pPr>
    </w:p>
    <w:p>
      <w:pPr>
        <w:pStyle w:val="Heading2"/>
      </w:pPr>
      <w:r>
        <w:t>9.4. Cookie / PKE</w:t>
      </w:r>
    </w:p>
    <w:p>
      <w:r>
        <w:rPr>
          <w:rFonts w:ascii="Inter" w:hAnsi="Inter"/>
          <w:b w:val="0"/>
          <w:i w:val="0"/>
          <w:color w:val="141C2C"/>
          <w:sz w:val="18"/>
        </w:rPr>
        <w:t>Właściwą podstawą polską dla przechowywania/odczytu informacji w urządzeniu końcowym jest art. 399 PKE. Kancelaria rekomenduje session-only cart cookie jako wariant najprostszy compliance; persistent cart 30 dni wymaga odrębnej decyzji DPO/Legal co do zgody.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Production cookie: Secure + HttpOnly + SameSite=Lax; HTTPS/HSTS do potwierdzenia w realnym QA.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Brak explicit Secure w source należy traktować jako security remediation, a nie automatyczne stwierdzenie naruszenia bez analizy środowiska.</w:t>
      </w:r>
    </w:p>
    <w:p>
      <w:pPr>
        <w:pStyle w:val="Heading1"/>
      </w:pPr>
      <w:r>
        <w:t>10. VAT / KSeF - ustalenia kancelarii</w:t>
      </w:r>
    </w:p>
    <w:p>
      <w:pPr>
        <w:pStyle w:val="Heading2"/>
      </w:pPr>
      <w:r>
        <w:t>10.1. KSeF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Owner przyjął wariant ostrożnościowy: miesięczna sprzedaż dokumentowana fakturami będzie prawdopodobnie &gt; 10 000 zł brutto.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Przy tym założeniu counsel przyjmuje obowiązek wystawiania w KSeF od 1.04.2026; odbiór faktur w KSeF od 1.02.2026, zgodnie z aktualnym harmonogramem MF.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Od 1.02.2026 obowiązującą strukturą faktury ustrukturyzowanej jest FA(3).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Własna integracja API nie jest warunkiem MVP; proces może być obsłużony przez biuro rachunkowe/program księgowy/oficjalne narzędzia.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KSeF references/integration state należą najwcześniej do 56B4, nie do 56B1.</w:t>
      </w:r>
    </w:p>
    <w:p>
      <w:pPr>
        <w:pStyle w:val="Heading2"/>
      </w:pPr>
      <w:r>
        <w:t>10.2. VAT prowizji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Partner PL: standardowe rozliczenie polskiego VAT prowizji, co do zasady 23%, z zastrzeżeniem realnego statusu podatkowego i faktury.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Partner UE B2B: miejsce świadczenia wg zasad B2B; polski VAT nie jest naliczany, a rozliczenie następuje po stronie odbiorcy w mechanizmie reverse charge, gdy warunki są spełnione.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W systemie nie używać technicznego skrótu „VAT 0% + reverse charge” jako równoważnego stawce 0%; modelować „NP / reverse_charge”, zgodnie z finalnym accounting design.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Deemed supplier z e-commerce VAT nie jest elementem current pure B2B modelu; future B2C/import wymaga re-review.</w:t>
      </w:r>
    </w:p>
    <w:p>
      <w:pPr>
        <w:pStyle w:val="Heading1"/>
      </w:pPr>
      <w:r>
        <w:t>11. PSP / płatności - legal constraints</w:t>
      </w:r>
    </w:p>
    <w:p>
      <w:r>
        <w:rPr>
          <w:rFonts w:ascii="Inter" w:hAnsi="Inter"/>
          <w:b w:val="0"/>
          <w:i w:val="0"/>
          <w:color w:val="141C2C"/>
          <w:sz w:val="18"/>
        </w:rPr>
        <w:t>Kancelaria zaakceptowała kierunek preauthorization -&gt; seller acceptance -&gt; capture, ale warunek finalny to użycie licencjonowanego PSP i brak przepływu środków przez własny rachunek LogiMarket.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Dozwolony target: connected accounts / direct payout / split allocation po stronie PSP.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LogiMarket nie prowadzi self-custody ani własnego escrow.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Capture dopiero po E7.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Wymagane evidence konkretnego PSP przed 56B3: capability, merchant/seller onboarding model, allocation/payout, auth/capture/void/refund, chargeback ownership.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Agency classification nie może być użyta jako automatyczne „commercial agent exemption” dla każdej payment architecture.</w:t>
      </w:r>
    </w:p>
    <w:p>
      <w:pPr>
        <w:pStyle w:val="Heading1"/>
      </w:pPr>
      <w:r>
        <w:t>12. DAC7 - otwarty handoff do doradcy podatkowego</w:t>
      </w:r>
    </w:p>
    <w:p>
      <w:r>
        <w:rPr>
          <w:rFonts w:ascii="Inter" w:hAnsi="Inter"/>
          <w:b w:val="0"/>
          <w:i w:val="0"/>
          <w:color w:val="141C2C"/>
          <w:sz w:val="18"/>
        </w:rPr>
        <w:t>DAC7 jest jedynym istotnym obszarem z finalnego gate register kancelarii, który pozostał MORE_FACTS_REQUIRED i wymaga osobnego Tax Advisor sign-off.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Ścieżka</w:t>
            </w:r>
          </w:p>
        </w:tc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Stan</w:t>
            </w:r>
          </w:p>
        </w:tc>
        <w:tc>
          <w:tcPr>
            <w:tcW w:type="dxa" w:w="453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Dlaczego wymaga tax review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E-commerce marketplace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Najbardziej prawdopodobny scope raportowy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LogiMarket zna order/value i pobiera success fee.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RFQ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Do rozstrzygnięcia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Finalna sprzedaż może nastąpić poza platformą; consideration może być nieznane.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Outbound /go/[id]</w:t>
            </w:r>
          </w:p>
        </w:tc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Do rozstrzygnięcia / możliwe wyłączenie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Platforma zna referral/click, nie zna finalnej sprzedaży.</w:t>
            </w:r>
          </w:p>
        </w:tc>
      </w:tr>
    </w:tbl>
    <w:p>
      <w:pPr>
        <w:spacing w:after="20"/>
      </w:pP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Nie identyfikowano obecnie Partnerów giełdowych ani rządowych/publicznych; jeśli się pojawią, klasyfikować indywidualnie.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Nie hardcodować ALL_PARTNERS_DAC7_REQUIRED=YES.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Seller legal/tax identity można projektować neutralnie, ale classification/reportability musi być osobnym tax decision.</w:t>
      </w:r>
    </w:p>
    <w:p>
      <w:pPr>
        <w:pStyle w:val="Heading1"/>
      </w:pPr>
      <w:r>
        <w:t>13. Pozostałe kwestie prawne z pakietu kancelarii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Temat</w:t>
            </w:r>
          </w:p>
        </w:tc>
        <w:tc>
          <w:tcPr>
            <w:tcW w:type="dxa" w:w="6803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Ustalenie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Rękojmia / odpowiedzialność B2B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W klasycznym B2B możliwe ograniczenia kontraktowe w ustawowym zakresie; dla kategorii B art. 7aa może uruchomić szczególną ochronę.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Dobrowolne zwroty B2B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Brak ogólnego 14-dniowego prawa dla czystego B2B; polityka handlowa może wprowadzić dobrowolne zasady.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Prawo właściwe / jurysdykcja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Do finalnego Partner Agreement / Terms; PL law/jurisdiction jako kierunek dla PL, cross-border wymaga świadomego draftingu.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Treści ofert / IP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Partner powinien udzielić licencji na treści; DSA notice &amp; action obejmuje także potencjalne naruszenia treści/IP.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NIS2 / cyber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Counsel uznał aktualny zakres za prawdopodobnie poza obowiązkiem wynikającym ze skali; ponowny review przy wzroście lub zmianie kwalifikacji.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AI / automated ranking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Brak w MVP; przed uruchomieniem automated scoring/recommender wymagany osobny legal/DSA/AI review.</w:t>
            </w:r>
          </w:p>
        </w:tc>
      </w:tr>
      <w:tr>
        <w:tc>
          <w:tcPr>
            <w:tcW w:type="dxa" w:w="2268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Future reseller</w:t>
            </w:r>
          </w:p>
        </w:tc>
        <w:tc>
          <w:tcPr>
            <w:tcW w:type="dxa" w:w="6803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Wyłączony z MVP; wymaga osobnego legal/tax/payment activation gate.</w:t>
            </w:r>
          </w:p>
        </w:tc>
      </w:tr>
    </w:tbl>
    <w:p>
      <w:pPr>
        <w:spacing w:after="20"/>
      </w:pPr>
    </w:p>
    <w:p>
      <w:pPr>
        <w:pStyle w:val="Heading1"/>
      </w:pPr>
      <w:r>
        <w:t>14. Dokumenty prawne do przygotowania na bazie zamkniętych ustaleń</w:t>
      </w:r>
    </w:p>
    <w:p>
      <w:pPr>
        <w:pStyle w:val="Heading2"/>
      </w:pPr>
      <w:r>
        <w:t>14.1. Umowa Partnerska - minimum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kwalifikacja agencyjna: LogiMarket jako agent pośredniczący bez umocowania do zawierania sprzedaży w imieniu Partnera;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Partner jako sprzedawca towaru i podmiot odpowiedzialny za fakturę towarową, fulfillment, towar i reklamacje;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success fee/prowizja, moment powstania prawa do wynagrodzenia i raportowanie;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brak del credere w modelu bazowym;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brak self-custody/escrow LogiMarket;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zasady ofert, seller acceptance, obowiązki aktualizacji ceny/dostępności;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IP/licencja na content Partnera;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moderacja, zawieszenie, statement-of-reasons/best practice partner protection;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privacy/data sharing clauses po DPO design; DAC7 data obligations tylko po Tax sign-off;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wypowiedzenie/rozwiązanie/świadczenie wyrównawcze i ewentualny zakaz konkurencji po finalnym article-by-article drafting check.</w:t>
      </w:r>
    </w:p>
    <w:p>
      <w:pPr>
        <w:pStyle w:val="Heading2"/>
      </w:pPr>
      <w:r>
        <w:t>14.2. Regulamin Marketplace / Buyer Terms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B2B-only eligibility i dozwolone business identity checks;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oferty produktów jako invitatio, E2 jako buyer offer, E7 jako explicit seller acceptance;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milczenie Partnera nie stanowi akceptacji; fulfillment dopiero po E7;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seller disclosure przed konwersją;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rola LogiMarket jako platformy/pośrednika, nie sprzedawcy;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RFQ jako negocjacje i niewiążąca quotation;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obsługa kategorii B zgodnie z art. 7aa i art. 385^5;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DSA art. 14, moderacja, notice &amp; action, statement of reasons;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payment orchestration wyłącznie przez PSP.</w:t>
      </w:r>
    </w:p>
    <w:p>
      <w:pPr>
        <w:pStyle w:val="Heading2"/>
      </w:pPr>
      <w:r>
        <w:t>14.3. Privacy / Cookie / DPA</w:t>
      </w:r>
    </w:p>
    <w:p>
      <w:r>
        <w:rPr>
          <w:rFonts w:ascii="Inter" w:hAnsi="Inter"/>
          <w:b w:val="0"/>
          <w:i w:val="0"/>
          <w:color w:val="141C2C"/>
          <w:sz w:val="18"/>
        </w:rPr>
        <w:t>To nie jest już zadanie kancelarii jako głównego workstreamu; wymaga finalnego DPO sign-off. Dokumenty: privacy notice art. 13, cookie policy/consent decision, DPA/vendor register, ROPA/LIA, retention policy, data-sharing arrangement per processing operation.</w:t>
      </w:r>
    </w:p>
    <w:p>
      <w:pPr>
        <w:pStyle w:val="Heading1"/>
      </w:pPr>
      <w:r>
        <w:t>15. Mapowanie ustaleń prawnych na roadmapę techniczną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134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Sprint</w:t>
            </w:r>
          </w:p>
        </w:tc>
        <w:tc>
          <w:tcPr>
            <w:tcW w:type="dxa" w:w="283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Zakres</w:t>
            </w:r>
          </w:p>
        </w:tc>
        <w:tc>
          <w:tcPr>
            <w:tcW w:type="dxa" w:w="5102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5"/>
              </w:rPr>
              <w:t>Legal impact</w:t>
            </w:r>
          </w:p>
        </w:tc>
      </w:tr>
      <w:tr>
        <w:tc>
          <w:tcPr>
            <w:tcW w:type="dxa" w:w="113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56B1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Seller Identity + Offer Contract Classification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SellerLegalIdentity, OfferSellerAssignment, verification metadata, public/KYB classification. Nie dodawać buyer gating, order lifecycle ani PSP.</w:t>
            </w:r>
          </w:p>
        </w:tc>
      </w:tr>
      <w:tr>
        <w:tc>
          <w:tcPr>
            <w:tcW w:type="dxa" w:w="113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56B2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Buyer Legal Context + MarketplaceOrder/SellerOrder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Business identity, optional professional-purpose evidence, Category B handling, SellerAcceptanceDecision, E2/E6/E7, disclosure snapshots.</w:t>
            </w:r>
          </w:p>
        </w:tc>
      </w:tr>
      <w:tr>
        <w:tc>
          <w:tcPr>
            <w:tcW w:type="dxa" w:w="113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56B3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PSP-neutral payments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Preauth/capture/void/release, payment allocation, fee/settlement refs; provider evidence required.</w:t>
            </w:r>
          </w:p>
        </w:tc>
      </w:tr>
      <w:tr>
        <w:tc>
          <w:tcPr>
            <w:tcW w:type="dxa" w:w="113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56B4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Invoice / KSeF / refunds / disputes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KSeF FA(3) references if needed, invoice responsibility, refunds/chargebacks.</w:t>
            </w:r>
          </w:p>
        </w:tc>
      </w:tr>
      <w:tr>
        <w:tc>
          <w:tcPr>
            <w:tcW w:type="dxa" w:w="113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5"/>
              </w:rPr>
              <w:t>56B6</w:t>
            </w:r>
          </w:p>
        </w:tc>
        <w:tc>
          <w:tcPr>
            <w:tcW w:type="dxa" w:w="28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Privacy / retention / audit</w:t>
            </w:r>
          </w:p>
        </w:tc>
        <w:tc>
          <w:tcPr>
            <w:tcW w:type="dxa" w:w="5102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5"/>
              </w:rPr>
              <w:t>Configurable retention, PrivacyProcessingContext, audit, anonymisation/delete metadata.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FF4D6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Inter" w:hAnsi="Inter"/>
                <w:b/>
                <w:i w:val="0"/>
                <w:color w:val="141C2C"/>
                <w:sz w:val="18"/>
              </w:rPr>
              <w:t>Canonical offer model pozostaje bez zmian</w:t>
              <w:br/>
            </w:r>
            <w:r>
              <w:rPr>
                <w:rFonts w:ascii="Inter" w:hAnsi="Inter"/>
                <w:b w:val="0"/>
                <w:i w:val="0"/>
                <w:color w:val="141C2C"/>
                <w:sz w:val="18"/>
              </w:rPr>
              <w:t>offerModel + conversionType nadal sterują zachowaniem RFQ/ecommerce/outbound. Umowa agencyjna LogiMarket-Partner nie może być użyta jako nowa wartość offerModel/contractModel ani jako powód do zmiany istniejących CTA i resolvera.</w:t>
            </w:r>
          </w:p>
        </w:tc>
      </w:tr>
    </w:tbl>
    <w:p>
      <w:pPr>
        <w:spacing w:after="0"/>
      </w:pPr>
    </w:p>
    <w:p>
      <w:pPr>
        <w:pStyle w:val="Heading1"/>
      </w:pPr>
      <w:r>
        <w:t>16. Twierdzenia superseded / zakazane do ponownego użycia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7087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Stare twierdzenie</w:t>
            </w:r>
          </w:p>
        </w:tc>
        <w:tc>
          <w:tcPr>
            <w:tcW w:type="dxa" w:w="1984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art. 540 KC = podstawa pośrednictwa marketplace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Agencja wymaga zawsze umocowania do zawierania umów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LogiMarket domyślnie odpowiada za solidność Kupującego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 - del credere tylko po art. 761^7 warunkowo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P2B automatycznie dotyczy pure B2B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DSA art. 19 wyłącza art. 16-18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DSA Terms &amp; Conditions = art. 13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 - art. 14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Cookie = art. 175 PKE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 - art. 399 PKE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Future LogiMarket-&gt;Partner = zawsze joint controllers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 - role per processing operation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Professional-purpose checkbox może być obowiązkowym warunkiem checkoutu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PKD match automatycznie rozstrzyga zawodowy charakter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Brak aktywnego VAT UE = nie jest przedsiębiorcą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KSeF FA(1)/(2) w 2026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 - FA(3)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Transgraniczna prowizja UE = po prostu VAT 0%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 - modelować place of supply / NP + reverse charge tam, gdzie właściwe</w:t>
            </w:r>
          </w:p>
        </w:tc>
      </w:tr>
      <w:tr>
        <w:tc>
          <w:tcPr>
            <w:tcW w:type="dxa" w:w="7087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Buyer gating / E2-E7 / payment states należą do 56B1</w:t>
            </w:r>
          </w:p>
        </w:tc>
        <w:tc>
          <w:tcPr>
            <w:tcW w:type="dxa" w:w="198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ODRZUCONE - odpowiednio 56B2/56B3</w:t>
            </w:r>
          </w:p>
        </w:tc>
      </w:tr>
    </w:tbl>
    <w:p>
      <w:pPr>
        <w:spacing w:after="20"/>
      </w:pPr>
    </w:p>
    <w:p>
      <w:pPr>
        <w:pStyle w:val="Heading1"/>
      </w:pPr>
      <w:r>
        <w:t>17. Co pozostaje otwarte po zamknięciu kancelarii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Obszar</w:t>
            </w:r>
          </w:p>
        </w:tc>
        <w:tc>
          <w:tcPr>
            <w:tcW w:type="dxa" w:w="1814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4876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Następny evidence/output</w:t>
            </w:r>
          </w:p>
        </w:tc>
      </w:tr>
      <w:tr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DPO / LEG-MKT-09 / OMQ-MKT-11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OPEN</w:t>
            </w:r>
          </w:p>
        </w:tc>
        <w:tc>
          <w:tcPr>
            <w:tcW w:type="dxa" w:w="487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DPA Supabase, subprocesorzy/transfery, art. 13, roles per processing operation, cookie decision, final retention/enforcement.</w:t>
            </w:r>
          </w:p>
        </w:tc>
      </w:tr>
      <w:tr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Tax / DAC7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OPEN</w:t>
            </w:r>
          </w:p>
        </w:tc>
        <w:tc>
          <w:tcPr>
            <w:tcW w:type="dxa" w:w="487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Reportable platform/operator scope, RFQ/outbound, dataset, excluded sellers, reporting process.</w:t>
            </w:r>
          </w:p>
        </w:tc>
      </w:tr>
      <w:tr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PSP provider evidence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OPEN before 56B3</w:t>
            </w:r>
          </w:p>
        </w:tc>
        <w:tc>
          <w:tcPr>
            <w:tcW w:type="dxa" w:w="487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Konkretny PSP, preauth/capture/void/refund, seller onboarding/KYB, settlement/payout.</w:t>
            </w:r>
          </w:p>
        </w:tc>
      </w:tr>
      <w:tr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Partner Agreement drafting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TO DO</w:t>
            </w:r>
          </w:p>
        </w:tc>
        <w:tc>
          <w:tcPr>
            <w:tcW w:type="dxa" w:w="487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Krótka finalna umowa z article-by-article agency check.</w:t>
            </w:r>
          </w:p>
        </w:tc>
      </w:tr>
      <w:tr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Marketplace Terms drafting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TO DO</w:t>
            </w:r>
          </w:p>
        </w:tc>
        <w:tc>
          <w:tcPr>
            <w:tcW w:type="dxa" w:w="487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E2/E7, seller identity, RFQ, B2B gating, DSA, Category B.</w:t>
            </w:r>
          </w:p>
        </w:tc>
      </w:tr>
      <w:tr>
        <w:tc>
          <w:tcPr>
            <w:tcW w:type="dxa" w:w="2381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Owner/Engineering readiness</w:t>
            </w:r>
          </w:p>
        </w:tc>
        <w:tc>
          <w:tcPr>
            <w:tcW w:type="dxa" w:w="1814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REQUIRED</w:t>
            </w:r>
          </w:p>
        </w:tc>
        <w:tc>
          <w:tcPr>
            <w:tcW w:type="dxa" w:w="4876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Formalna decyzja o LM_MARKETPLACE_SCHEMA_56B1_READY=YES/NO.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EAF4EF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Inter" w:hAnsi="Inter"/>
                <w:b/>
                <w:i w:val="0"/>
                <w:color w:val="141C2C"/>
                <w:sz w:val="18"/>
              </w:rPr>
              <w:t>Aktualny status readiness</w:t>
              <w:br/>
            </w:r>
            <w:r>
              <w:rPr>
                <w:rFonts w:ascii="Inter" w:hAnsi="Inter"/>
                <w:b w:val="0"/>
                <w:i w:val="0"/>
                <w:color w:val="141C2C"/>
                <w:sz w:val="18"/>
              </w:rPr>
              <w:t>LEGAL_COUNSEL_WORKSTREAM_CLOSED=YES. LM_MARKETPLACE_SCHEMA_56B1_READY pozostaje NO do osobnej decyzji Owner/Engineering po włączeniu wymaganych ograniczeń DPO/privacy. Counsel w starszym gate register wskazywał również DAC7 Tax sign-off; Owner/Engineering powinien w readiness review rozstrzygnąć, czy otwarty DAC7 faktycznie blokuje neutralny 56B1 foundation, czy pozostaje osobnym workstreamem.</w:t>
            </w:r>
          </w:p>
        </w:tc>
      </w:tr>
    </w:tbl>
    <w:p>
      <w:pPr>
        <w:spacing w:after="0"/>
      </w:pPr>
    </w:p>
    <w:p>
      <w:pPr>
        <w:pStyle w:val="Heading1"/>
      </w:pPr>
      <w:r>
        <w:t>18. Source hierarchy i traceability</w:t>
      </w:r>
    </w:p>
    <w:p>
      <w:r>
        <w:rPr>
          <w:rFonts w:ascii="Inter" w:hAnsi="Inter"/>
          <w:b w:val="0"/>
          <w:i w:val="0"/>
          <w:color w:val="141C2C"/>
          <w:sz w:val="18"/>
        </w:rPr>
        <w:t>Konsolidacja została zbudowana z następującej sekwencji materiałów. Nowsze formalne korekty zastępują sprzeczne fragmenty starszych opinii: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1. </w:t>
      </w:r>
      <w:r>
        <w:rPr>
          <w:rFonts w:ascii="Inter" w:hAnsi="Inter"/>
          <w:b w:val="0"/>
          <w:i w:val="0"/>
          <w:color w:val="141C2C"/>
          <w:sz w:val="18"/>
        </w:rPr>
        <w:t>Counsel Pack v1.0: Model biznesowy, Legal Decision Pack, GDPR/Data Flow Pack.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2. </w:t>
      </w:r>
      <w:r>
        <w:rPr>
          <w:rFonts w:ascii="Inter" w:hAnsi="Inter"/>
          <w:b w:val="0"/>
          <w:i w:val="0"/>
          <w:color w:val="141C2C"/>
          <w:sz w:val="18"/>
        </w:rPr>
        <w:t>Correction &amp; Confirmation Memo R2.1 + odpowiedzi Ownera.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3. </w:t>
      </w:r>
      <w:r>
        <w:rPr>
          <w:rFonts w:ascii="Inter" w:hAnsi="Inter"/>
          <w:b w:val="0"/>
          <w:i w:val="0"/>
          <w:color w:val="141C2C"/>
          <w:sz w:val="18"/>
        </w:rPr>
        <w:t>Wstępna opinia kancelarii z 9.08.2026.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4. </w:t>
      </w:r>
      <w:r>
        <w:rPr>
          <w:rFonts w:ascii="Inter" w:hAnsi="Inter"/>
          <w:b w:val="0"/>
          <w:i w:val="0"/>
          <w:color w:val="141C2C"/>
          <w:sz w:val="18"/>
        </w:rPr>
        <w:t>Finalna opinia kancelarii z 9.08.2026.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5. </w:t>
      </w:r>
      <w:r>
        <w:rPr>
          <w:rFonts w:ascii="Inter" w:hAnsi="Inter"/>
          <w:b w:val="0"/>
          <w:i w:val="0"/>
          <w:color w:val="141C2C"/>
          <w:sz w:val="18"/>
        </w:rPr>
        <w:t>Odpowiedź na Final Correction Request.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6. </w:t>
      </w:r>
      <w:r>
        <w:rPr>
          <w:rFonts w:ascii="Inter" w:hAnsi="Inter"/>
          <w:b w:val="0"/>
          <w:i w:val="0"/>
          <w:color w:val="141C2C"/>
          <w:sz w:val="18"/>
        </w:rPr>
        <w:t>Korekta nr 2: art. 761^7 / art. 7aa.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7. </w:t>
      </w:r>
      <w:r>
        <w:rPr>
          <w:rFonts w:ascii="Inter" w:hAnsi="Inter"/>
          <w:b w:val="0"/>
          <w:i w:val="0"/>
          <w:color w:val="141C2C"/>
          <w:sz w:val="18"/>
        </w:rPr>
        <w:t>Errata nr 3: ostateczna korekta mapowania przepisów agencyjnych i u.p.k.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8. </w:t>
      </w:r>
      <w:r>
        <w:rPr>
          <w:rFonts w:ascii="Inter" w:hAnsi="Inter"/>
          <w:b w:val="0"/>
          <w:i w:val="0"/>
          <w:color w:val="141C2C"/>
          <w:sz w:val="18"/>
        </w:rPr>
        <w:t>Finalne wyjaśnienie kancelarii dotyczące B2B gatingu, art. 7aa ust. 2 / art. 385^5 §1^1 i pomocniczego charakteru PKD/CEIDG.</w:t>
      </w:r>
    </w:p>
    <w:p>
      <w:pPr>
        <w:ind w:left="255" w:hanging="198"/>
      </w:pPr>
      <w:r>
        <w:rPr>
          <w:rFonts w:ascii="Inter" w:hAnsi="Inter"/>
          <w:b/>
          <w:i w:val="0"/>
          <w:color w:val="147487"/>
          <w:sz w:val="18"/>
        </w:rPr>
        <w:t xml:space="preserve">9. </w:t>
      </w:r>
      <w:r>
        <w:rPr>
          <w:rFonts w:ascii="Inter" w:hAnsi="Inter"/>
          <w:b w:val="0"/>
          <w:i w:val="0"/>
          <w:color w:val="141C2C"/>
          <w:sz w:val="18"/>
        </w:rPr>
        <w:t>Owner/PM Verification and Action Plan - wyłącznie jako warstwa mapowania prawnych decyzji na istniejącą architekturę 56B1-56B6.</w:t>
      </w:r>
    </w:p>
    <w:p>
      <w:pPr>
        <w:pStyle w:val="Heading2"/>
      </w:pPr>
      <w:r>
        <w:t>18.1. Źródła urzędowe użyte do kontroli spójności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Kodeks cywilny - tekst jednolity Dz.U. 2026 poz. 795 (ELI).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Ustawa o prawach konsumenta - Dz.U. 2024 poz. 1796 z późniejszą zmianą wynikającą z Dz.U. 2025 poz. 1172 (art. 7aa ust. 2).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Prawo komunikacji elektronicznej - Dz.U. 2024 poz. 1221, art. 399.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Regulation (EU) 2019/1150 - EUR-Lex, w szczególności recital 11.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Regulation (EU) 2022/2065 (DSA) - EUR-Lex.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Regulation (EU) 2016/679 (GDPR) + EDPB Guidelines 07/2020.</w:t>
      </w:r>
    </w:p>
    <w:p>
      <w:pPr>
        <w:ind w:left="255" w:hanging="130"/>
      </w:pPr>
      <w:r>
        <w:rPr>
          <w:rFonts w:ascii="Inter" w:hAnsi="Inter"/>
          <w:b/>
          <w:i w:val="0"/>
          <w:color w:val="147487"/>
          <w:sz w:val="18"/>
        </w:rPr>
        <w:t xml:space="preserve">• </w:t>
      </w:r>
      <w:r>
        <w:rPr>
          <w:rFonts w:ascii="Inter" w:hAnsi="Inter"/>
          <w:b w:val="0"/>
          <w:i w:val="0"/>
          <w:color w:val="141C2C"/>
          <w:sz w:val="18"/>
        </w:rPr>
        <w:t>Ministerstwo Finansów / KSeF 2.0 - harmonogram 2026 i struktura FA(3).</w:t>
      </w:r>
    </w:p>
    <w:p>
      <w:pPr>
        <w:pStyle w:val="Heading1"/>
      </w:pPr>
      <w:r>
        <w:t>19. Finalny record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453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Key</w:t>
            </w:r>
          </w:p>
        </w:tc>
        <w:tc>
          <w:tcPr>
            <w:tcW w:type="dxa" w:w="4535"/>
            <w:shd w:fill="141C2C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rPr>
                <w:rFonts w:ascii="Inter" w:hAnsi="Inter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LEGAL_COUNSEL_WORKSTREAM_CLOSED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LEGAL_MODEL_PARTNER_IS_SELLER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LOGIMARKET_IS_NOT_SELLER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INTERMEDIARY_RELATIONSHIP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AGENCY_INTERMEDIATION_NO_POWER_TO_CONTRACT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DEL_CREDERE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NO_IN_BASE_MODEL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ECOMMERCE_BUYER_OFFER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E2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SELLER_ACCEPTANCE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E7_REQUIRED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CONTRACT_FORMATION_TARGET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E7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CAPTURE_AFTER_E7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RFQ_CONTRACT_FORMATION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NO_AUTOMATIC_CONTRACT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P2B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NOT_APPLICABLE_WHILE_PURE_B2B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MANDATORY_PROFESSIONAL_PURPOSE_DECLARATION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NO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PKD_AUTOMATIC_LEGAL_CLASSIFIER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NO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DPO_SIGNOFF_REQUIRED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DAC7_TAX_SIGNOFF_REQUIRED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PSP_PROVIDER_EVIDENCE_REQUIRED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YES_BEFORE_56B3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OWNER_ENGINEERING_READINESS_REQUIRED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YES</w:t>
            </w:r>
          </w:p>
        </w:tc>
      </w:tr>
      <w:tr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8FAFB"/>
          </w:tcPr>
          <w:p>
            <w:r>
              <w:rPr>
                <w:rFonts w:ascii="Inter" w:hAnsi="Inter"/>
                <w:b/>
                <w:i w:val="0"/>
                <w:color w:val="141C2C"/>
                <w:sz w:val="16"/>
              </w:rPr>
              <w:t>LM_MARKETPLACE_SCHEMA_56B1_READY</w:t>
            </w:r>
          </w:p>
        </w:tc>
        <w:tc>
          <w:tcPr>
            <w:tcW w:type="dxa" w:w="4535"/>
            <w:tcBorders>
              <w:top w:val="single" w:sz="4" w:color="D7DCE2"/>
              <w:left w:val="single" w:sz="4" w:color="D7DCE2"/>
              <w:bottom w:val="single" w:sz="4" w:color="D7DCE2"/>
              <w:right w:val="single" w:sz="4" w:color="D7DCE2"/>
              <w:insideH w:val="single" w:sz="4" w:color="D7DCE2"/>
              <w:insideV w:val="single" w:sz="4" w:color="D7DCE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Inter" w:hAnsi="Inter"/>
                <w:b w:val="0"/>
                <w:i w:val="0"/>
                <w:color w:val="141C2C"/>
                <w:sz w:val="16"/>
              </w:rPr>
              <w:t>NO_CURRENTLY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blHeader w:val="true"/>
        </w:trPr>
        <w:tc>
          <w:tcPr>
            <w:tcW w:type="dxa" w:w="10312"/>
            <w:shd w:fill="F0F0F0"/>
            <w:tcBorders>
              <w:top w:val="single" w:sz="7" w:color="147487"/>
              <w:left w:val="single" w:sz="7" w:color="147487"/>
              <w:bottom w:val="single" w:sz="7" w:color="147487"/>
              <w:right w:val="single" w:sz="7" w:color="147487"/>
              <w:insideH w:val="single" w:sz="7" w:color="147487"/>
              <w:insideV w:val="single" w:sz="7" w:color="147487"/>
            </w:tcBorders>
            <w:tcMar>
              <w:top w:w="115" w:type="dxa"/>
              <w:start w:w="125" w:type="dxa"/>
              <w:bottom w:w="115" w:type="dxa"/>
              <w:end w:w="125" w:type="dxa"/>
            </w:tcMar>
          </w:tcPr>
          <w:p>
            <w:r>
              <w:rPr>
                <w:rFonts w:ascii="Inter" w:hAnsi="Inter"/>
                <w:b/>
                <w:i w:val="0"/>
                <w:color w:val="141C2C"/>
                <w:sz w:val="18"/>
              </w:rPr>
              <w:t>Stop condition</w:t>
              <w:br/>
            </w:r>
            <w:r>
              <w:rPr>
                <w:rFonts w:ascii="Inter" w:hAnsi="Inter"/>
                <w:b w:val="0"/>
                <w:i w:val="0"/>
                <w:color w:val="141C2C"/>
                <w:sz w:val="18"/>
              </w:rPr>
              <w:t>Niniejszy dokument zamyka potrzebę dalszej korespondencji z kancelarią na etapie kwalifikacji bazowego modelu. Nie uruchamia automatycznie kodowania ani zmian DB. Następny krok powinien być osobnym Owner Review: DPO handoff / Tax-DAC7 handoff / Partner Agreement drafting / Engineering readiness.</w:t>
            </w:r>
          </w:p>
        </w:tc>
      </w:tr>
    </w:tbl>
    <w:p>
      <w:pPr>
        <w:spacing w:after="0"/>
      </w:pPr>
    </w:p>
    <w:p>
      <w:pPr>
        <w:spacing w:before="200"/>
      </w:pPr>
      <w:r>
        <w:rPr>
          <w:rFonts w:ascii="Inter" w:hAnsi="Inter"/>
          <w:b/>
          <w:i w:val="0"/>
          <w:color w:val="5B6472"/>
          <w:sz w:val="18"/>
        </w:rPr>
        <w:t>Dokument konsolidacyjny przygotowany dla Owner Review</w:t>
      </w:r>
    </w:p>
    <w:p>
      <w:r>
        <w:rPr>
          <w:rFonts w:ascii="Inter" w:hAnsi="Inter"/>
          <w:b w:val="0"/>
          <w:i w:val="0"/>
          <w:color w:val="5B6472"/>
          <w:sz w:val="16"/>
        </w:rPr>
        <w:t>LogiMarket Marketplace B2B | 9 sierpnia 2026 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b w:val="0"/>
        <w:i w:val="0"/>
        <w:color w:val="5B6472"/>
        <w:sz w:val="14"/>
      </w:rPr>
      <w:t>Konsolidacja ustaleń kancelarii prawnej v1.0 | 9 sierpnia 2026 r.</w:t>
    </w:r>
  </w:p>
  <w:p>
    <w:pPr>
      <w:jc w:val="right"/>
    </w:pPr>
    <w:r>
      <w:rPr>
        <w:rFonts w:ascii="Inter" w:hAnsi="Inter"/>
        <w:b w:val="0"/>
        <w:i w:val="0"/>
        <w:color w:val="5B6472"/>
        <w:sz w:val="15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i w:val="0"/>
        <w:color w:val="141C2C"/>
        <w:sz w:val="15"/>
      </w:rPr>
      <w:t>LOGIMARKET.EU | CONSOLIDATED LEGAL COUNSEL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Inter" w:hAnsi="Inte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Inter" w:hAnsi="Inter"/>
      <w:b/>
      <w:bCs/>
      <w:color w:val="141C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Inter" w:hAnsi="Inter"/>
      <w:b/>
      <w:bCs/>
      <w:color w:val="14748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41C2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