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300"/>
        <w:jc w:val="center"/>
      </w:pPr>
      <w:r>
        <w:rPr>
          <w:rFonts w:ascii="Arial" w:cs="Arial" w:eastAsia="Arial" w:hAnsi="Arial"/>
          <w:b/>
          <w:bCs/>
          <w:sz w:val="40"/>
          <w:szCs w:val="40"/>
        </w:rPr>
        <w:t xml:space="preserve">Quantifying Bitcoin Network Resilience Through Critical Scenario Discovery</w:t>
      </w:r>
    </w:p>
    <w:p>
      <w:pPr>
        <w:spacing w:after="400"/>
        <w:jc w:val="center"/>
      </w:pPr>
      <w:r>
        <w:rPr>
          <w:rFonts w:ascii="Arial" w:cs="Arial" w:eastAsia="Arial" w:hAnsi="Arial"/>
          <w:i/>
          <w:iCs/>
          <w:sz w:val="26"/>
          <w:szCs w:val="26"/>
        </w:rPr>
        <w:t xml:space="preserve">A Dual-Layer Framework for Testing Configuration Heterogeneity in Decentralized Consensus</w:t>
      </w:r>
    </w:p>
    <w:p>
      <w:pPr>
        <w:spacing w:after="80"/>
      </w:pPr>
    </w:p>
    <w:p>
      <w:pPr>
        <w:spacing w:after="80"/>
      </w:pPr>
    </w:p>
    <w:p>
      <w:pPr>
        <w:spacing w:after="120"/>
        <w:jc w:val="center"/>
      </w:pPr>
      <w:r>
        <w:rPr>
          <w:rFonts w:ascii="Arial" w:cs="Arial" w:eastAsia="Arial" w:hAnsi="Arial"/>
          <w:sz w:val="28"/>
          <w:szCs w:val="28"/>
        </w:rPr>
        <w:t xml:space="preserve">[Author Names]</w:t>
      </w:r>
    </w:p>
    <w:p>
      <w:pPr>
        <w:spacing w:after="120"/>
        <w:jc w:val="center"/>
      </w:pPr>
      <w:r>
        <w:rPr>
          <w:rFonts w:ascii="Arial" w:cs="Arial" w:eastAsia="Arial" w:hAnsi="Arial"/>
          <w:sz w:val="22"/>
          <w:szCs w:val="22"/>
        </w:rPr>
        <w:t xml:space="preserve">University of Wyoming Bitcoin Research Institute Workshop — July 13–17, 2026</w:t>
      </w:r>
    </w:p>
    <w:p>
      <w:pPr>
        <w:spacing w:after="80"/>
      </w:pPr>
    </w:p>
    <w:p>
      <w:pPr>
        <w:spacing w:after="80"/>
      </w:pPr>
    </w:p>
    <w:p>
      <w:pPr>
        <w:spacing w:after="120"/>
        <w:jc w:val="center"/>
      </w:pPr>
      <w:r>
        <w:rPr>
          <w:rFonts w:ascii="Arial" w:cs="Arial" w:eastAsia="Arial" w:hAnsi="Arial"/>
          <w:b/>
          <w:bCs/>
          <w:color w:val="CC0000"/>
          <w:sz w:val="24"/>
          <w:szCs w:val="24"/>
        </w:rPr>
        <w:t xml:space="preserve">DRAFT — February 2026</w:t>
      </w:r>
    </w:p>
    <w:p>
      <w:pPr>
        <w:spacing w:after="120"/>
        <w:jc w:val="center"/>
      </w:pPr>
      <w:r>
        <w:rPr>
          <w:rFonts w:ascii="Arial" w:cs="Arial" w:eastAsia="Arial" w:hAnsi="Arial"/>
          <w:i/>
          <w:iCs/>
          <w:color w:val="666666"/>
          <w:sz w:val="22"/>
          <w:szCs w:val="22"/>
        </w:rPr>
        <w:t xml:space="preserve">Working Paper — Not for Distribution</w:t>
      </w:r>
    </w:p>
    <w:p>
      <w:pPr>
        <w:sectPr>
          <w:pgSz w:w="12240" w:h="15840" w:orient="portrait"/>
          <w:pgMar w:top="1440" w:right="1440" w:bottom="1440" w:left="1440" w:header="708" w:footer="708" w:gutter="0"/>
          <w:pgNumType/>
          <w:docGrid w:linePitch="360"/>
        </w:sectPr>
      </w:pPr>
    </w:p>
    <w:p>
      <w:pPr>
        <w:spacing w:after="200" w:line="276"/>
      </w:pPr>
      <w:r>
        <w:rPr>
          <w:rFonts w:ascii="Arial" w:cs="Arial" w:eastAsia="Arial" w:hAnsi="Arial"/>
          <w:b/>
          <w:bCs/>
          <w:sz w:val="24"/>
          <w:szCs w:val="24"/>
        </w:rPr>
        <w:t xml:space="preserve">Abstract</w:t>
      </w:r>
    </w:p>
    <w:p>
      <w:pPr>
        <w:spacing w:after="120" w:line="276"/>
      </w:pPr>
      <w:r>
        <w:t xml:space="preserve">Bitcoin’s consensus mechanism depends not only on protocol rules but on the emergent behavior of a heterogeneous network of independently configured nodes. While the protocol itself is well-specified, the real-world Bitcoin network comprises nodes running different software versions, operating under varying resource constraints, and implementing diverse relay and validation policies. This configuration heterogeneity creates potential failure modes that are difficult to predict analytically but can be explored systematically through controlled experimentation.</w:t>
      </w:r>
    </w:p>
    <w:p>
      <w:pPr>
        <w:spacing w:after="120" w:line="276"/>
      </w:pPr>
      <w:r>
        <w:t xml:space="preserve">This paper presents a framework for discovering critical scenarios in heterogeneous Bitcoin networks using Warnet, an open-source network simulation tool. We introduce a dual-layer analysis model that integrates technical consensus metrics with economic topology metadata, recognizing that chain splits and consensus failures persist or resolve based not only on technical factors but on the distribution of economic influence across network partitions. Through systematic variation of node configurations—including version mix, mempool policies, resource constraints, and relay settings—we identify quantitative thresholds at which network behavior transitions from stable to at-risk.</w:t>
      </w:r>
    </w:p>
    <w:p>
      <w:pPr>
        <w:spacing w:after="120" w:line="276"/>
      </w:pPr>
      <w:r>
        <w:t xml:space="preserve">Our initial empirical findings reveal critical thresholds for version compatibility, resource constraints, and policy divergence, and demonstrate that the economic weight distribution across a network partition is a stronger predictor of fork resolution outcomes than hashrate majority alone. We present a catalog of critical scenarios with severity classifications and discuss implications for node operators, protocol developers, and the broader Bitcoin ecosystem.</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Refine abstract once results sections are complete. Target: 250–300 words. Current draft captures the framing; update with specific threshold values and scenario counts from empirical testing.</w:t>
      </w:r>
      <w:r>
        <w:rPr>
          <w:rFonts w:ascii="Arial" w:cs="Arial" w:eastAsia="Arial" w:hAnsi="Arial"/>
          <w:b/>
          <w:bCs/>
          <w:i/>
          <w:iCs/>
          <w:color w:val="856404"/>
          <w:sz w:val="20"/>
          <w:szCs w:val="20"/>
        </w:rPr>
        <w:t xml:space="preserve">]</w:t>
      </w:r>
    </w:p>
    <w:p>
      <w:pPr>
        <w:spacing w:after="120" w:line="276"/>
      </w:pPr>
      <w:r>
        <w:rPr>
          <w:b/>
          <w:bCs/>
          <w:sz w:val="22"/>
          <w:szCs w:val="22"/>
        </w:rPr>
        <w:t xml:space="preserve">Keywords: </w:t>
      </w:r>
      <w:r>
        <w:rPr>
          <w:sz w:val="22"/>
          <w:szCs w:val="22"/>
        </w:rPr>
        <w:t xml:space="preserve">Bitcoin, consensus, network resilience, configuration heterogeneity, Warnet, fork detection, economic topology, critical scenarios</w:t>
      </w:r>
    </w:p>
    <w:p>
      <w:r>
        <w:br w:type="page"/>
      </w:r>
    </w:p>
    <w:p>
      <w:pPr>
        <w:pStyle w:val="Heading1"/>
        <w:spacing w:before="360" w:after="200"/>
      </w:pPr>
      <w:r>
        <w:t xml:space="preserve">1. Introduction</w:t>
      </w:r>
    </w:p>
    <w:p>
      <w:pPr>
        <w:spacing w:after="120" w:line="276"/>
      </w:pPr>
      <w:r>
        <w:t xml:space="preserve">Bitcoin’s decentralized consensus mechanism is often described in terms of its protocol rules—proof-of-work, longest-chain selection, and deterministic validation. However, the operational reality of the Bitcoin network introduces a layer of complexity that pure protocol analysis cannot capture. The network consists of tens of thousands of independently operated nodes, each configured according to its operator’s priorities, resources, and technical sophistication. These nodes run different software versions, allocate different amounts of memory to transaction pools, enforce different relay policies, and operate under varying resource constraints.</w:t>
      </w:r>
    </w:p>
    <w:p>
      <w:pPr>
        <w:spacing w:after="120" w:line="276"/>
      </w:pPr>
      <w:r>
        <w:t xml:space="preserve">This configuration heterogeneity is not merely an implementation detail—it is a fundamental characteristic of decentralized systems that can create emergent failure modes invisible to analysis of the protocol alone. When a significant fraction of nodes runs software versions that interpret protocol rules differently, or when resource-constrained nodes cannot keep pace with network demands, the conditions for consensus divergence can arise even without any explicit attack.</w:t>
      </w:r>
    </w:p>
    <w:p>
      <w:pPr>
        <w:pStyle w:val="Heading2"/>
        <w:spacing w:before="280" w:after="160"/>
      </w:pPr>
      <w:r>
        <w:t xml:space="preserve">1.1 Problem Statement</w:t>
      </w:r>
    </w:p>
    <w:p>
      <w:pPr>
        <w:spacing w:after="120" w:line="276"/>
      </w:pPr>
      <w:r>
        <w:t xml:space="preserve">The Bitcoin ecosystem lacks systematic, empirical methods for identifying the configuration conditions under which network stability degrades. Existing approaches to network analysis tend to focus on either protocol-level formal verification or post-hoc analysis of historical incidents. Neither approach adequately addresses the question: </w:t>
      </w:r>
      <w:r>
        <w:rPr>
          <w:i/>
          <w:iCs/>
        </w:rPr>
        <w:t xml:space="preserve">given the actual diversity of configurations in the live network, what specific combinations of node settings create unacceptable risks to consensus?</w:t>
      </w:r>
    </w:p>
    <w:p>
      <w:pPr>
        <w:spacing w:after="120" w:line="276"/>
      </w:pPr>
      <w:r>
        <w:t xml:space="preserve">Furthermore, chain splits and consensus failures are not purely technical events. Their persistence and resolution depend critically on the distribution of economic influence—the custody holdings and transaction volumes of the nodes on each side of a partition. A mining majority running incompatible software can be economically overruled by exchanges and major services running current software, and vice versa. Yet existing testing frameworks treat all nodes as interchangeable, ignoring the economic topology that determines real-world outcomes.</w:t>
      </w:r>
    </w:p>
    <w:p>
      <w:pPr>
        <w:pStyle w:val="Heading2"/>
        <w:spacing w:before="280" w:after="160"/>
      </w:pPr>
      <w:r>
        <w:t xml:space="preserve">1.2 Research Questions</w:t>
      </w:r>
    </w:p>
    <w:p>
      <w:pPr>
        <w:spacing w:after="120" w:line="276"/>
      </w:pPr>
      <w:r>
        <w:t xml:space="preserve">This paper addresses three primary research questions:</w:t>
      </w:r>
    </w:p>
    <w:p>
      <w:pPr>
        <w:spacing w:after="80" w:line="276"/>
        <w:ind w:left="720"/>
      </w:pPr>
      <w:r>
        <w:rPr>
          <w:b/>
          <w:bCs/>
        </w:rPr>
        <w:t xml:space="preserve">RQ1: </w:t>
      </w:r>
      <w:r>
        <w:t xml:space="preserve">What specific node configuration parameters and combinations create critical risks to Bitcoin network consensus, and can we identify quantitative thresholds for these risks?</w:t>
      </w:r>
    </w:p>
    <w:p>
      <w:pPr>
        <w:spacing w:after="80" w:line="276"/>
        <w:ind w:left="720"/>
      </w:pPr>
      <w:r>
        <w:rPr>
          <w:b/>
          <w:bCs/>
        </w:rPr>
        <w:t xml:space="preserve">RQ2: </w:t>
      </w:r>
      <w:r>
        <w:t xml:space="preserve">How does the economic topology of a network—the distribution of custody holdings and transaction volumes across differently-configured nodes—affect the severity and resolution of consensus failures?</w:t>
      </w:r>
    </w:p>
    <w:p>
      <w:pPr>
        <w:spacing w:after="120" w:line="276"/>
        <w:ind w:left="720"/>
      </w:pPr>
      <w:r>
        <w:rPr>
          <w:b/>
          <w:bCs/>
        </w:rPr>
        <w:t xml:space="preserve">RQ3: </w:t>
      </w:r>
      <w:r>
        <w:t xml:space="preserve">Can a systematic, simulation-based framework for critical scenario discovery provide operationally useful guidance for node operators and protocol developers?</w:t>
      </w:r>
    </w:p>
    <w:p>
      <w:pPr>
        <w:pStyle w:val="Heading2"/>
        <w:spacing w:before="280" w:after="160"/>
      </w:pPr>
      <w:r>
        <w:t xml:space="preserve">1.3 Contributions</w:t>
      </w:r>
    </w:p>
    <w:p>
      <w:pPr>
        <w:spacing w:after="120" w:line="276"/>
      </w:pPr>
      <w:r>
        <w:t xml:space="preserve">This paper makes the following contributions. First, we present a validated testing framework built on Warnet that enables systematic exploration of the configuration space for heterogeneous Bitcoin networks. Second, we introduce a dual-layer analysis model that integrates technical consensus metrics with economic topology metadata, providing a more complete picture of consensus risk than either dimension alone. Third, we report initial empirical findings identifying critical thresholds for version compatibility, resource constraints, and policy divergence across a range of network configurations. Fourth, we present a catalog of critical scenarios with severity classifications, reproduction steps, and mitigation recommendations. Fifth, we discuss the implications of our findings for node operators, protocol developers, and the broader understanding of decentralized consensus resilience.</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Update contributions list with specific numbers once testing is complete (e.g., “X critical thresholds across Y scenarios”).</w:t>
      </w:r>
      <w:r>
        <w:rPr>
          <w:rFonts w:ascii="Arial" w:cs="Arial" w:eastAsia="Arial" w:hAnsi="Arial"/>
          <w:b/>
          <w:bCs/>
          <w:i/>
          <w:iCs/>
          <w:color w:val="856404"/>
          <w:sz w:val="20"/>
          <w:szCs w:val="20"/>
        </w:rPr>
        <w:t xml:space="preserve">]</w:t>
      </w:r>
    </w:p>
    <w:p>
      <w:pPr>
        <w:pStyle w:val="Heading2"/>
        <w:spacing w:before="280" w:after="160"/>
      </w:pPr>
      <w:r>
        <w:t xml:space="preserve">1.4 Paper Organization</w:t>
      </w:r>
    </w:p>
    <w:p>
      <w:pPr>
        <w:spacing w:after="120" w:line="276"/>
      </w:pPr>
      <w:r>
        <w:t xml:space="preserve">The remainder of this paper is organized as follows. Section 2 provides background on Bitcoin consensus mechanisms, configuration heterogeneity, and related work. Section 3 describes our methodology, including the Warnet testing infrastructure, scenario design approach, economic metadata framework, and measurement methodology. Section 4 presents our technical testing results across version compatibility, resource constraints, and policy divergence dimensions. Section 5 reports our economic analysis results, including dual-metric model validation and risk scoring. Section 6 presents the critical scenarios catalog. Section 7 discusses our findings, limitations, and future work. Section 8 concludes.</w:t>
      </w:r>
    </w:p>
    <w:p>
      <w:r>
        <w:br w:type="page"/>
      </w:r>
    </w:p>
    <w:p>
      <w:pPr>
        <w:pStyle w:val="Heading1"/>
        <w:spacing w:before="360" w:after="200"/>
      </w:pPr>
      <w:r>
        <w:t xml:space="preserve">2. Background and Related Work</w:t>
      </w:r>
    </w:p>
    <w:p>
      <w:pPr>
        <w:pStyle w:val="Heading2"/>
        <w:spacing w:before="280" w:after="160"/>
      </w:pPr>
      <w:r>
        <w:t xml:space="preserve">2.1 Bitcoin Consensus Mechanisms</w:t>
      </w:r>
    </w:p>
    <w:p>
      <w:pPr>
        <w:spacing w:after="120" w:line="276"/>
      </w:pPr>
      <w:r>
        <w:t xml:space="preserve">Bitcoin’s consensus mechanism combines proof-of-work mining with a set of deterministic validation rules that all full nodes independently enforce. The protocol specifies block structure, transaction validity, script evaluation, and chain selection rules. In principle, all nodes following the same protocol rules will converge on the same chain state. In practice, several factors introduce heterogeneity into this process.</w:t>
      </w:r>
    </w:p>
    <w:p>
      <w:pPr>
        <w:spacing w:after="120" w:line="276"/>
      </w:pPr>
      <w:r>
        <w:t xml:space="preserve">Software upgrades introduce new validation rules through mechanisms such as soft forks, where new rules are backward-compatible but create situations in which older nodes may accept blocks that newer nodes reject (or vice versa, depending on the nature of the change). The deployment of Segregated Witness (SegWit) and Taproot illustrate how protocol changes create temporary periods of validation heterogeneity across the network. Nodes running pre-SegWit software, for example, treat witness data as “anyone-can-spend” outputs, meaning they will accept transactions that post-SegWit nodes would validate against witness programs.</w:t>
      </w:r>
      <w:r>
        <w:rPr>
          <w:i/>
          <w:iCs/>
          <w:color w:val="CC0000"/>
          <w:sz w:val="20"/>
          <w:szCs w:val="20"/>
        </w:rPr>
        <w:t xml:space="preserve"> [Cite SegWit BIP141, BIP143, BIP144]</w:t>
      </w:r>
    </w:p>
    <w:p>
      <w:pPr>
        <w:spacing w:after="120" w:line="276"/>
      </w:pPr>
      <w:r>
        <w:t xml:space="preserve">Beyond validation rules, nodes differ in their relay policies, mempool configurations, and resource allocations. These policy-level differences do not directly affect consensus but can influence transaction propagation, fee estimation, and the effective connectivity of the network—all of which have indirect effects on consensus stability.</w:t>
      </w:r>
    </w:p>
    <w:p>
      <w:pPr>
        <w:pStyle w:val="Heading2"/>
        <w:spacing w:before="280" w:after="160"/>
      </w:pPr>
      <w:r>
        <w:t xml:space="preserve">2.2 Configuration Heterogeneity in Decentralized Networks</w:t>
      </w:r>
    </w:p>
    <w:p>
      <w:pPr>
        <w:spacing w:after="120" w:line="276"/>
      </w:pPr>
      <w:r>
        <w:t xml:space="preserve">Configuration heterogeneity is an inherent property of decentralized networks where no central authority mandates software versions or settings. In the Bitcoin network, this heterogeneity manifests across several dimensions: software version (with nodes ranging from current releases to versions several years old), mempool configuration (including maximum size, expiration, and fee thresholds), network policy (connection limits, upload targets, relay modes), and resource availability (CPU, memory, disk, bandwidth).</w:t>
      </w:r>
      <w:r>
        <w:rPr>
          <w:i/>
          <w:iCs/>
          <w:color w:val="CC0000"/>
          <w:sz w:val="20"/>
          <w:szCs w:val="20"/>
        </w:rPr>
        <w:t xml:space="preserve"> [Cite Bitnodes data, Bitcoin Core version distribution statistics]</w:t>
      </w:r>
    </w:p>
    <w:p>
      <w:pPr>
        <w:spacing w:after="120" w:line="276"/>
      </w:pPr>
      <w:r>
        <w:t xml:space="preserve">Prior work has examined individual dimensions of this heterogeneity—for example, studies of version adoption rates during soft fork activations, or analyses of mempool divergence during fee spikes—but there has been limited systematic exploration of the combined effects of multiple configuration dimensions on network behavior.</w:t>
      </w:r>
      <w:r>
        <w:rPr>
          <w:i/>
          <w:iCs/>
          <w:color w:val="CC0000"/>
          <w:sz w:val="20"/>
          <w:szCs w:val="20"/>
        </w:rPr>
        <w:t xml:space="preserve"> [Cite relevant version adoption studies]</w:t>
      </w:r>
    </w:p>
    <w:p>
      <w:pPr>
        <w:pStyle w:val="Heading2"/>
        <w:spacing w:before="280" w:after="160"/>
      </w:pPr>
      <w:r>
        <w:t xml:space="preserve">2.3 Economic Consensus and Fork Resolution</w:t>
      </w:r>
    </w:p>
    <w:p>
      <w:pPr>
        <w:spacing w:after="120" w:line="276"/>
      </w:pPr>
      <w:r>
        <w:t xml:space="preserve">A critical insight motivating this work is that chain splits are not resolved by hashrate alone. The Bitcoin Cash (BCH) fork of August 2017 and the cancellation of the SegWit2x (S2X) hard fork in November 2017 both demonstrated that economic consensus—the aggregate decisions of exchanges, payment processors, and users about which chain to recognize—plays a decisive role in determining the viability of competing chains.</w:t>
      </w:r>
      <w:r>
        <w:rPr>
          <w:i/>
          <w:iCs/>
          <w:color w:val="CC0000"/>
          <w:sz w:val="20"/>
          <w:szCs w:val="20"/>
        </w:rPr>
        <w:t xml:space="preserve"> [Cite BCH fork analysis, SegWit2x cancellation literature]</w:t>
      </w:r>
    </w:p>
    <w:p>
      <w:pPr>
        <w:spacing w:after="120" w:line="276"/>
      </w:pPr>
      <w:r>
        <w:t xml:space="preserve">This observation suggests that any framework for assessing consensus risk must account for the economic topology of the network: not just how many nodes run each configuration, but how much economic weight those nodes represent. A chain supported by 90% of hashrate but rejected by major exchanges holding significant custody may be economically unviable, while a chain supported by only 10% of hashrate but endorsed by the dominant economic actors may attract sufficient mining support through market price signals.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Expand with specific references to BCAP (Bitcoin Consensus Analysis Project) if applicable. Add 2–3 additional citations on economic consensus theory.</w:t>
      </w:r>
      <w:r>
        <w:rPr>
          <w:rFonts w:ascii="Arial" w:cs="Arial" w:eastAsia="Arial" w:hAnsi="Arial"/>
          <w:b/>
          <w:bCs/>
          <w:i/>
          <w:iCs/>
          <w:color w:val="856404"/>
          <w:sz w:val="20"/>
          <w:szCs w:val="20"/>
        </w:rPr>
        <w:t xml:space="preserve">]</w:t>
      </w:r>
    </w:p>
    <w:p>
      <w:pPr>
        <w:pStyle w:val="Heading2"/>
        <w:spacing w:before="280" w:after="160"/>
      </w:pPr>
      <w:r>
        <w:t xml:space="preserve">2.4 Warnet and Existing Testing Frameworks</w:t>
      </w:r>
    </w:p>
    <w:p>
      <w:pPr>
        <w:spacing w:after="120" w:line="276"/>
      </w:pPr>
      <w:r>
        <w:t xml:space="preserve">Warnet is an open-source tool for deploying and managing custom Bitcoin test networks. It enables researchers to create networks of Bitcoin Core nodes with specified configurations, topologies, and behavioral parameters. Unlike Bitcoin’s built-in regtest mode, which provides a single-node testing environment, Warnet supports multi-node deployments that can model realistic network conditions including latency, bandwidth constraints, and heterogeneous configurations.</w:t>
      </w:r>
      <w:r>
        <w:rPr>
          <w:i/>
          <w:iCs/>
          <w:color w:val="CC0000"/>
          <w:sz w:val="20"/>
          <w:szCs w:val="20"/>
        </w:rPr>
        <w:t xml:space="preserve"> [Cite Warnet repository and documentation]</w:t>
      </w:r>
    </w:p>
    <w:p>
      <w:pPr>
        <w:spacing w:after="120" w:line="276"/>
      </w:pPr>
      <w:r>
        <w:t xml:space="preserve">Other testing frameworks for Bitcoin and blockchain systems include Bitcoin’s functional test suite, which tests individual node behavior; network simulators such as Shadow, which model large-scale network dynamics; and formal verification approaches that prove properties of protocol rules. Our work complements these approaches by focusing specifically on the emergent behavior of heterogeneous configurations in realistic network topologies, with an emphasis on discovering critical scenarios rather than verifying known properties.</w:t>
      </w:r>
      <w:r>
        <w:rPr>
          <w:i/>
          <w:iCs/>
          <w:color w:val="CC0000"/>
          <w:sz w:val="20"/>
          <w:szCs w:val="20"/>
        </w:rPr>
        <w:t xml:space="preserve"> [Cite Shadow simulator, Bitcoin functional tests, formal verification work]</w:t>
      </w:r>
    </w:p>
    <w:p>
      <w:pPr>
        <w:pStyle w:val="Heading2"/>
        <w:spacing w:before="280" w:after="160"/>
      </w:pPr>
      <w:r>
        <w:t xml:space="preserve">2.5 Related Work</w:t>
      </w:r>
    </w:p>
    <w:p>
      <w:pPr>
        <w:spacing w:after="120" w:line="276"/>
      </w:pPr>
      <w:r>
        <w:t xml:space="preserve">Several lines of prior work inform our approach. Research on Bitcoin network measurement has characterized the diversity of node configurations in the live network, providing empirical grounding for our test scenarios. Studies of soft fork activation dynamics have examined how version adoption evolves over time and what factors influence upgrade decisions. Work on mempool analysis has documented the divergence in transaction pools across nodes under various network conditions. Finally, economic analyses of historical fork events have established the importance of economic consensus in determining outcomes.</w:t>
      </w:r>
      <w:r>
        <w:rPr>
          <w:i/>
          <w:iCs/>
          <w:color w:val="CC0000"/>
          <w:sz w:val="20"/>
          <w:szCs w:val="20"/>
        </w:rPr>
        <w:t xml:space="preserve"> [Cite 5–10 key references across these categories]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Complete literature review. Target 5–10 key citations. Focus on: (1) Bitcoin network measurement studies, (2) soft fork activation research, (3) mempool divergence analysis, (4) economic consensus in forks, (5) blockchain testing frameworks.</w:t>
      </w:r>
      <w:r>
        <w:rPr>
          <w:rFonts w:ascii="Arial" w:cs="Arial" w:eastAsia="Arial" w:hAnsi="Arial"/>
          <w:b/>
          <w:bCs/>
          <w:i/>
          <w:iCs/>
          <w:color w:val="856404"/>
          <w:sz w:val="20"/>
          <w:szCs w:val="20"/>
        </w:rPr>
        <w:t xml:space="preserve">]</w:t>
      </w:r>
    </w:p>
    <w:p>
      <w:r>
        <w:br w:type="page"/>
      </w:r>
    </w:p>
    <w:p>
      <w:pPr>
        <w:pStyle w:val="Heading1"/>
        <w:spacing w:before="360" w:after="200"/>
      </w:pPr>
      <w:r>
        <w:t xml:space="preserve">3. Methodology</w:t>
      </w:r>
    </w:p>
    <w:p>
      <w:pPr>
        <w:spacing w:after="120" w:line="276"/>
      </w:pPr>
      <w:r>
        <w:t xml:space="preserve">Our methodology combines controlled network simulation with a novel dual-layer analysis framework. We systematically vary node configurations across multiple dimensions, measure both technical consensus metrics and economic topology effects, and classify the resulting scenarios by severity.</w:t>
      </w:r>
    </w:p>
    <w:p>
      <w:pPr>
        <w:pStyle w:val="Heading2"/>
        <w:spacing w:before="280" w:after="160"/>
      </w:pPr>
      <w:r>
        <w:t xml:space="preserve">3.1 Warnet Testing Infrastructure</w:t>
      </w:r>
    </w:p>
    <w:p>
      <w:pPr>
        <w:spacing w:after="120" w:line="276"/>
      </w:pPr>
      <w:r>
        <w:t xml:space="preserve">We deploy test networks using Warnet, configured to model realistic Bitcoin network conditions at reduced scale. Each test network consists of 25–30 nodes deployed in Docker containers, with configurable Bitcoin Core versions, resource limits, and policy settings. Nodes are connected in topologies that model the peer-to-peer structure of the Bitcoin network, including both well-connected hub nodes and peripheral nodes with limited connectivity.</w:t>
      </w:r>
    </w:p>
    <w:p>
      <w:pPr>
        <w:spacing w:after="120" w:line="276"/>
      </w:pPr>
      <w:r>
        <w:t xml:space="preserve">Network configurations are specified declaratively through YAML files that define node count, version assignments, resource constraints, policy parameters, and economic metadata. This declarative approach enables reproducible scenario deployment and systematic variation of test parameters.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Add architecture diagram here showing Warnet infrastructure, node configuration flow, and monitoring pipeline.</w:t>
      </w:r>
      <w:r>
        <w:rPr>
          <w:rFonts w:ascii="Arial" w:cs="Arial" w:eastAsia="Arial" w:hAnsi="Arial"/>
          <w:b/>
          <w:bCs/>
          <w:i/>
          <w:iCs/>
          <w:color w:val="856404"/>
          <w:sz w:val="20"/>
          <w:szCs w:val="20"/>
        </w:rPr>
        <w:t xml:space="preserve">]</w:t>
      </w:r>
    </w:p>
    <w:p>
      <w:pPr>
        <w:pStyle w:val="Heading2"/>
        <w:spacing w:before="280" w:after="160"/>
      </w:pPr>
      <w:r>
        <w:t xml:space="preserve">3.2 Scenario Design Approach</w:t>
      </w:r>
    </w:p>
    <w:p>
      <w:pPr>
        <w:spacing w:after="120" w:line="276"/>
      </w:pPr>
      <w:r>
        <w:t xml:space="preserve">We adopt a phased approach to scenario design that progresses from single-variable perturbation to multi-variable combinations and stress testing. This structure enables us to establish clear causal relationships between specific configuration changes and observed network behavior before examining interaction effects.</w:t>
      </w:r>
    </w:p>
    <w:p>
      <w:pPr>
        <w:pStyle w:val="Heading3"/>
        <w:spacing w:before="240" w:after="120"/>
      </w:pPr>
      <w:r>
        <w:t xml:space="preserve">3.2.1 Input Variable Space</w:t>
      </w:r>
    </w:p>
    <w:p>
      <w:pPr>
        <w:spacing w:after="120" w:line="276"/>
      </w:pPr>
      <w:r>
        <w:t xml:space="preserve">Our testing covers five primary dimensions of configuration variation. </w:t>
      </w:r>
      <w:r>
        <w:rPr>
          <w:b/>
          <w:bCs/>
        </w:rPr>
        <w:t xml:space="preserve">Version mix</w:t>
      </w:r>
      <w:r>
        <w:t xml:space="preserve"> tests combinations of Bitcoin Core versions spanning major protocol changes, including v0.16 (post-SegWit, pre-Taproot), v22.0 (Taproot-ready), v26.0, and v27.0 (current). </w:t>
      </w:r>
      <w:r>
        <w:rPr>
          <w:b/>
          <w:bCs/>
        </w:rPr>
        <w:t xml:space="preserve">Mempool configuration</w:t>
      </w:r>
      <w:r>
        <w:t xml:space="preserve"> varies maximum pool size, expiration settings, and fee thresholds across nodes. </w:t>
      </w:r>
      <w:r>
        <w:rPr>
          <w:b/>
          <w:bCs/>
        </w:rPr>
        <w:t xml:space="preserve">Network policy</w:t>
      </w:r>
      <w:r>
        <w:t xml:space="preserve"> tests different connection limits, upload targets, and relay mode settings. </w:t>
      </w:r>
      <w:r>
        <w:rPr>
          <w:b/>
          <w:bCs/>
        </w:rPr>
        <w:t xml:space="preserve">Resource constraints</w:t>
      </w:r>
      <w:r>
        <w:t xml:space="preserve"> applies CPU, memory, and bandwidth limitations to subsets of nodes. </w:t>
      </w:r>
      <w:r>
        <w:rPr>
          <w:b/>
          <w:bCs/>
        </w:rPr>
        <w:t xml:space="preserve">Economic role assignment</w:t>
      </w:r>
      <w:r>
        <w:t xml:space="preserve"> assigns nodes to miner, exchange, payment processor, or user roles with corresponding economic weight metadata.</w:t>
      </w:r>
    </w:p>
    <w:p>
      <w:pPr>
        <w:pStyle w:val="Heading3"/>
        <w:spacing w:before="240" w:after="120"/>
      </w:pPr>
      <w:r>
        <w:t xml:space="preserve">3.2.2 Phased Testing Structure</w:t>
      </w:r>
    </w:p>
    <w:p>
      <w:pPr>
        <w:spacing w:after="120" w:line="276"/>
      </w:pPr>
      <w:r>
        <w:t xml:space="preserve">Phase 1 (Baseline) establishes homogeneous control networks with all nodes running the same version and default settings, defining normal behavioral ranges for all metrics. Phase 2 (Single-Variable Perturbation) introduces controlled changes along one dimension at a time—for example, varying the version mix while holding all other parameters constant. This phase tests key threshold points such as 90/10, 70/30, and 50/50 version splits. Phase 3 (Multi-Variable Combinations) tests realistic deployment scenarios combining multiple sources of heterogeneity, such as version mix with resource constraints or policy divergence with economic topology variation. Phase 4 (Stress Testing) pushes configurations to extreme values to identify absolute limits and failure modes.</w:t>
      </w:r>
    </w:p>
    <w:p>
      <w:pPr>
        <w:pStyle w:val="Heading2"/>
        <w:spacing w:before="280" w:after="160"/>
      </w:pPr>
      <w:r>
        <w:t xml:space="preserve">3.3 Economic Metadata Framework</w:t>
      </w:r>
    </w:p>
    <w:p>
      <w:pPr>
        <w:spacing w:after="120" w:line="276"/>
      </w:pPr>
      <w:r>
        <w:t xml:space="preserve">A key innovation of our approach is the integration of economic topology metadata into the testing framework. Each node in our test networks is assigned an economic role and corresponding weight based on two metrics: custody holdings (BTC held by the entity the node represents) and daily transaction volume (BTC transacted per day). These values are drawn from publicly available data on Bitcoin custody distribution and exchange volumes.</w:t>
      </w:r>
    </w:p>
    <w:p>
      <w:pPr>
        <w:pStyle w:val="Heading3"/>
        <w:spacing w:before="240" w:after="120"/>
      </w:pPr>
      <w:r>
        <w:t xml:space="preserve">3.3.1 Consensus Weight Calculation</w:t>
      </w:r>
    </w:p>
    <w:p>
      <w:pPr>
        <w:spacing w:after="120" w:line="276"/>
      </w:pPr>
      <w:r>
        <w:t xml:space="preserve">We define a node’s consensus weight as a weighted combination of its custody and volume contributions:</w:t>
      </w:r>
    </w:p>
    <w:p>
      <w:pPr>
        <w:spacing w:after="120" w:line="276"/>
        <w:jc w:val="center"/>
      </w:pPr>
      <w:r>
        <w:rPr>
          <w:i/>
          <w:iCs/>
        </w:rPr>
        <w:t xml:space="preserve">consensus_weight = (0.7 × custody_btc + 0.3 × daily_volume_btc) / 10,000</w:t>
      </w:r>
    </w:p>
    <w:p>
      <w:pPr>
        <w:spacing w:after="120" w:line="276"/>
      </w:pPr>
      <w:r>
        <w:t xml:space="preserve">Custody is weighted at 70% because it represents the long-term economic commitment to a chain—assets that must be moved or risk loss in a persistent fork. Volume is weighted at 30% as it reflects the ongoing economic activity that generates demand for block space and transaction confirmation. The normalization factor of 10,000 scales values to a manageable range. Under this model, a major exchange with 1.5 million BTC in custody and 150,000 BTC daily volume has a consensus weight of approximately 111.7, while an individual user with 3.5 BTC and 0.5 BTC daily volume has a weight of approximately 0.0003—reflecting the real-world disparity in economic influence.</w:t>
      </w:r>
    </w:p>
    <w:p>
      <w:pPr>
        <w:pStyle w:val="Heading3"/>
        <w:spacing w:before="240" w:after="120"/>
      </w:pPr>
      <w:r>
        <w:t xml:space="preserve">3.3.2 Fork Resolution Model</w:t>
      </w:r>
    </w:p>
    <w:p>
      <w:pPr>
        <w:spacing w:after="120" w:line="276"/>
      </w:pPr>
      <w:r>
        <w:t xml:space="preserve">When a sustained fork is detected (defined as a chain divergence of six or more blocks), our model calculates token prices for each fork based on three factors: chain height (30% coefficient), representing block production viability; economic allocation (50% coefficient), representing the aggregate economic weight of nodes following each chain; and hashrate allocation (20% coefficient), representing security. Each factor maps to a 0.8–1.2 range, and the combined factor is applied to the pre-fork base price to generate per-fork token prices. These prices then feed back into node decision-making: mining pools evaluate profitability, economic nodes assess price signals against switching thresholds, and user nodes follow with higher inertia.</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Add diagram of the feedback loop model (Price Oracle ↔ Mining Pools ↔ Economic Nodes ↔ Fee Oracle). Reference FORK_SIMULATION_MODEL.md for detailed specification.</w:t>
      </w:r>
      <w:r>
        <w:rPr>
          <w:rFonts w:ascii="Arial" w:cs="Arial" w:eastAsia="Arial" w:hAnsi="Arial"/>
          <w:b/>
          <w:bCs/>
          <w:i/>
          <w:iCs/>
          <w:color w:val="856404"/>
          <w:sz w:val="20"/>
          <w:szCs w:val="20"/>
        </w:rPr>
        <w:t xml:space="preserve">]</w:t>
      </w:r>
    </w:p>
    <w:p>
      <w:pPr>
        <w:pStyle w:val="Heading2"/>
        <w:spacing w:before="280" w:after="160"/>
      </w:pPr>
      <w:r>
        <w:t xml:space="preserve">3.4 Measurement Methodology</w:t>
      </w:r>
    </w:p>
    <w:p>
      <w:pPr>
        <w:pStyle w:val="Heading3"/>
        <w:spacing w:before="240" w:after="120"/>
      </w:pPr>
      <w:r>
        <w:t xml:space="preserve">3.4.1 Primary Criticality Indicators</w:t>
      </w:r>
    </w:p>
    <w:p>
      <w:pPr>
        <w:spacing w:after="120" w:line="276"/>
      </w:pPr>
      <w:r>
        <w:t xml:space="preserve">We monitor three categories of primary indicators. </w:t>
      </w:r>
      <w:r>
        <w:rPr>
          <w:b/>
          <w:bCs/>
        </w:rPr>
        <w:t xml:space="preserve">Consensus divergence metrics</w:t>
      </w:r>
      <w:r>
        <w:t xml:space="preserve"> include fork detection (count and duration of chain splits), UTXO set hash comparisons across nodes at regular intervals, block validation disagreement rates, and reorganization frequency and depth. </w:t>
      </w:r>
      <w:r>
        <w:rPr>
          <w:b/>
          <w:bCs/>
        </w:rPr>
        <w:t xml:space="preserve">Transaction propagation metrics</w:t>
      </w:r>
      <w:r>
        <w:t xml:space="preserve"> include mempool synchronization rates, relay blocking events, fee estimation divergence across nodes, and double-spend detection. </w:t>
      </w:r>
      <w:r>
        <w:rPr>
          <w:b/>
          <w:bCs/>
        </w:rPr>
        <w:t xml:space="preserve">Network connectivity metrics</w:t>
      </w:r>
      <w:r>
        <w:t xml:space="preserve"> include peer isolation events, version-based clustering, connection asymmetries, and peer discovery failures.</w:t>
      </w:r>
    </w:p>
    <w:p>
      <w:pPr>
        <w:pStyle w:val="Heading3"/>
        <w:spacing w:before="240" w:after="120"/>
      </w:pPr>
      <w:r>
        <w:t xml:space="preserve">3.4.2 Criticality Scoring</w:t>
      </w:r>
    </w:p>
    <w:p>
      <w:pPr>
        <w:spacing w:after="120" w:line="276"/>
      </w:pPr>
      <w:r>
        <w:t xml:space="preserve">We assign criticality scores to observed network states based on a weighted combination of indicators. Chain fork detection contributes the highest weight (100 points), followed by UTXO set mismatches (50 points), node isolation above 10% of network size (30 points), propagation delays exceeding 30 seconds (20 points), and memory usage spikes exceeding 5× baseline (15 points). Scenarios are classified as Critical (score &gt;80), High Risk (40–80), Medium Risk (20–40), or Low Risk (&lt;20).</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Include table summarizing the criticality scoring rubric. Refine weights based on empirical calibration during baseline testing.</w:t>
      </w:r>
      <w:r>
        <w:rPr>
          <w:rFonts w:ascii="Arial" w:cs="Arial" w:eastAsia="Arial" w:hAnsi="Arial"/>
          <w:b/>
          <w:bCs/>
          <w:i/>
          <w:iCs/>
          <w:color w:val="856404"/>
          <w:sz w:val="20"/>
          <w:szCs w:val="20"/>
        </w:rPr>
        <w:t xml:space="preserve">]</w:t>
      </w:r>
    </w:p>
    <w:p>
      <w:pPr>
        <w:pStyle w:val="Heading2"/>
        <w:spacing w:before="280" w:after="160"/>
      </w:pPr>
      <w:r>
        <w:t xml:space="preserve">3.5 Automated Detection and Monitoring</w:t>
      </w:r>
    </w:p>
    <w:p>
      <w:pPr>
        <w:spacing w:after="120" w:line="276"/>
      </w:pPr>
      <w:r>
        <w:t xml:space="preserve">We implement automated monitoring through a suite of tools that run continuously during each test scenario. Fork detection monitors chain tip consistency across all nodes and triggers alerts when divergence is observed. Economic analysis tools automatically compute the economic weight distribution across fork partitions. Data collection scripts record all metrics at configurable intervals for post-hoc analysis. The monitoring pipeline is designed to operate without manual intervention, enabling batch execution of scenario suites.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Reference specific tools: continuous_mining_test.sh, natural_fork_test.sh, auto_economic_analysis.py. Describe data collection format and storage.</w:t>
      </w:r>
      <w:r>
        <w:rPr>
          <w:rFonts w:ascii="Arial" w:cs="Arial" w:eastAsia="Arial" w:hAnsi="Arial"/>
          <w:b/>
          <w:bCs/>
          <w:i/>
          <w:iCs/>
          <w:color w:val="856404"/>
          <w:sz w:val="20"/>
          <w:szCs w:val="20"/>
        </w:rPr>
        <w:t xml:space="preserve">]</w:t>
      </w:r>
    </w:p>
    <w:p>
      <w:r>
        <w:br w:type="page"/>
      </w:r>
    </w:p>
    <w:p>
      <w:pPr>
        <w:pStyle w:val="Heading1"/>
        <w:spacing w:before="360" w:after="200"/>
      </w:pPr>
      <w:r>
        <w:t xml:space="preserve">4. Technical Testing Results</w:t>
      </w:r>
    </w:p>
    <w:p>
      <w:pPr>
        <w:spacing w:after="120" w:line="276"/>
      </w:pPr>
      <w:r>
        <w:t xml:space="preserve">This section presents results from our systematic testing across version compatibility, resource constraints, and policy divergence dimensions. We begin with baseline measurements from homogeneous networks and then report findings from single-variable and multi-variable perturbation scenarios.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This entire section will be populated with empirical results from testing. The subsection structure below provides the framework; each subsection should include quantitative findings, threshold values, and 1–2 figures.</w:t>
      </w:r>
      <w:r>
        <w:rPr>
          <w:rFonts w:ascii="Arial" w:cs="Arial" w:eastAsia="Arial" w:hAnsi="Arial"/>
          <w:b/>
          <w:bCs/>
          <w:i/>
          <w:iCs/>
          <w:color w:val="856404"/>
          <w:sz w:val="20"/>
          <w:szCs w:val="20"/>
        </w:rPr>
        <w:t xml:space="preserve">]</w:t>
      </w:r>
    </w:p>
    <w:p>
      <w:pPr>
        <w:pStyle w:val="Heading2"/>
        <w:spacing w:before="280" w:after="160"/>
      </w:pPr>
      <w:r>
        <w:t xml:space="preserve">4.1 Baseline Results</w:t>
      </w:r>
    </w:p>
    <w:p>
      <w:pPr>
        <w:spacing w:after="120" w:line="276"/>
      </w:pPr>
      <w:r>
        <w:t xml:space="preserve">We established baselines using three homogeneous 25-node networks running Bitcoin Core v27.0, v26.0, and v22.0 respectively. Each baseline ran for four hours under normal transaction load conditions.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Insert baseline metrics table: block propagation time (mean, p95, p99), mempool synchronization rate, UTXO set consistency, CPU/memory utilization. Source: BASELINE_METRICS.md</w:t>
      </w:r>
      <w:r>
        <w:rPr>
          <w:rFonts w:ascii="Arial" w:cs="Arial" w:eastAsia="Arial" w:hAnsi="Arial"/>
          <w:b/>
          <w:bCs/>
          <w:i/>
          <w:iCs/>
          <w:color w:val="856404"/>
          <w:sz w:val="20"/>
          <w:szCs w:val="20"/>
        </w:rPr>
        <w:t xml:space="preserve">]</w:t>
      </w:r>
    </w:p>
    <w:p>
      <w:pPr>
        <w:pStyle w:val="Heading2"/>
        <w:spacing w:before="280" w:after="160"/>
      </w:pPr>
      <w:r>
        <w:t xml:space="preserve">4.2 Version Compatibility Thresholds</w:t>
      </w:r>
    </w:p>
    <w:p>
      <w:pPr>
        <w:spacing w:after="120" w:line="276"/>
      </w:pPr>
      <w:r>
        <w:t xml:space="preserve">Version compatibility testing explored four mix ratios for recent version pairs (v27/v26) and two scenarios involving major version gaps spanning protocol changes (v27/v22, v27/v0.16).</w:t>
      </w:r>
    </w:p>
    <w:p>
      <w:pPr>
        <w:pStyle w:val="Heading3"/>
        <w:spacing w:before="240" w:after="120"/>
      </w:pPr>
      <w:r>
        <w:t xml:space="preserve">4.2.1 Recent Version Mix (v27/v26)</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Report results from version-mix-90-10, version-mix-70-30, version-mix-50-50, and version-mix-30-70 scenarios. Key findings: At what threshold does behavior degrade? Any fork events? Propagation delay changes? Include figure: risk score vs. version mix percentage.</w:t>
      </w:r>
      <w:r>
        <w:rPr>
          <w:rFonts w:ascii="Arial" w:cs="Arial" w:eastAsia="Arial" w:hAnsi="Arial"/>
          <w:b/>
          <w:bCs/>
          <w:i/>
          <w:iCs/>
          <w:color w:val="856404"/>
          <w:sz w:val="20"/>
          <w:szCs w:val="20"/>
        </w:rPr>
        <w:t xml:space="preserve">]</w:t>
      </w:r>
    </w:p>
    <w:p>
      <w:pPr>
        <w:pStyle w:val="Heading3"/>
        <w:spacing w:before="240" w:after="120"/>
      </w:pPr>
      <w:r>
        <w:t xml:space="preserve">4.2.2 Major Version Gaps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Report results from version-gap-taproot (v27/v22) and version-gap-segwit (v27/v0.16) scenarios. Focus on validation disagreements, fork creation, and the role of SegWit/Taproot transaction types in triggering splits. Source: VERSION_THRESHOLDS.md</w:t>
      </w:r>
      <w:r>
        <w:rPr>
          <w:rFonts w:ascii="Arial" w:cs="Arial" w:eastAsia="Arial" w:hAnsi="Arial"/>
          <w:b/>
          <w:bCs/>
          <w:i/>
          <w:iCs/>
          <w:color w:val="856404"/>
          <w:sz w:val="20"/>
          <w:szCs w:val="20"/>
        </w:rPr>
        <w:t xml:space="preserve">]</w:t>
      </w:r>
    </w:p>
    <w:p>
      <w:pPr>
        <w:pStyle w:val="Heading2"/>
        <w:spacing w:before="280" w:after="160"/>
      </w:pPr>
      <w:r>
        <w:t xml:space="preserve">4.3 Resource Constraint Thresholds</w:t>
      </w:r>
    </w:p>
    <w:p>
      <w:pPr>
        <w:spacing w:after="120" w:line="276"/>
      </w:pPr>
      <w:r>
        <w:t xml:space="preserve">Resource constraint testing examined the effects of memory limitations and connection limits on network behavior under varying load conditions.</w:t>
      </w:r>
    </w:p>
    <w:p>
      <w:pPr>
        <w:pStyle w:val="Heading3"/>
        <w:spacing w:before="240" w:after="120"/>
      </w:pPr>
      <w:r>
        <w:t xml:space="preserve">4.3.1 Memory Constraints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Report results from memory-constraint-high (40% constrained) and memory-constraint-extreme (60% constrained) scenarios. Key metrics: mempool divergence, transaction relay failures, fee estimation accuracy. Source: RESOURCE_THRESHOLDS.md</w:t>
      </w:r>
      <w:r>
        <w:rPr>
          <w:rFonts w:ascii="Arial" w:cs="Arial" w:eastAsia="Arial" w:hAnsi="Arial"/>
          <w:b/>
          <w:bCs/>
          <w:i/>
          <w:iCs/>
          <w:color w:val="856404"/>
          <w:sz w:val="20"/>
          <w:szCs w:val="20"/>
        </w:rPr>
        <w:t xml:space="preserve">]</w:t>
      </w:r>
    </w:p>
    <w:p>
      <w:pPr>
        <w:pStyle w:val="Heading3"/>
        <w:spacing w:before="240" w:after="120"/>
      </w:pPr>
      <w:r>
        <w:t xml:space="preserve">4.3.2 Connection Limits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Report results from connection-limit-40pct scenario. Key metrics: peer isolation, propagation delays, network partition risk.</w:t>
      </w:r>
      <w:r>
        <w:rPr>
          <w:rFonts w:ascii="Arial" w:cs="Arial" w:eastAsia="Arial" w:hAnsi="Arial"/>
          <w:b/>
          <w:bCs/>
          <w:i/>
          <w:iCs/>
          <w:color w:val="856404"/>
          <w:sz w:val="20"/>
          <w:szCs w:val="20"/>
        </w:rPr>
        <w:t xml:space="preserve">]</w:t>
      </w:r>
    </w:p>
    <w:p>
      <w:pPr>
        <w:pStyle w:val="Heading3"/>
        <w:spacing w:before="240" w:after="120"/>
      </w:pPr>
      <w:r>
        <w:t xml:space="preserve">4.3.3 Fee Policy Conflicts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Report results from fee-policy-conflict scenario. Key metrics: relay blocking rates, mempool synchronization divergence, effective network segmentation.</w:t>
      </w:r>
      <w:r>
        <w:rPr>
          <w:rFonts w:ascii="Arial" w:cs="Arial" w:eastAsia="Arial" w:hAnsi="Arial"/>
          <w:b/>
          <w:bCs/>
          <w:i/>
          <w:iCs/>
          <w:color w:val="856404"/>
          <w:sz w:val="20"/>
          <w:szCs w:val="20"/>
        </w:rPr>
        <w:t xml:space="preserve">]</w:t>
      </w:r>
    </w:p>
    <w:p>
      <w:pPr>
        <w:pStyle w:val="Heading2"/>
        <w:spacing w:before="280" w:after="160"/>
      </w:pPr>
      <w:r>
        <w:t xml:space="preserve">4.4 Multi-Variable Interaction Effects</w:t>
      </w:r>
    </w:p>
    <w:p>
      <w:pPr>
        <w:spacing w:after="120" w:line="276"/>
      </w:pPr>
      <w:r>
        <w:t xml:space="preserve">Multi-variable testing combined sources of heterogeneity to identify interaction effects not visible in single-variable tests. We tested three key combinations representing realistic deployment scenarios.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Report results from combined scenarios: (1) version mix + resource constraints, (2) version mix + different mempool policies, (3) mixed relay policies + fee pressure. Focus on whether combined effects are additive, multiplicative, or exhibit threshold behavior. Source: test results from Month 3 testing.</w:t>
      </w:r>
      <w:r>
        <w:rPr>
          <w:rFonts w:ascii="Arial" w:cs="Arial" w:eastAsia="Arial" w:hAnsi="Arial"/>
          <w:b/>
          <w:bCs/>
          <w:i/>
          <w:iCs/>
          <w:color w:val="856404"/>
          <w:sz w:val="20"/>
          <w:szCs w:val="20"/>
        </w:rPr>
        <w:t xml:space="preserve">]</w:t>
      </w:r>
    </w:p>
    <w:p>
      <w:pPr>
        <w:pStyle w:val="Heading2"/>
        <w:spacing w:before="280" w:after="160"/>
      </w:pPr>
      <w:r>
        <w:t xml:space="preserve">4.5 Stress Test Observations</w:t>
      </w:r>
    </w:p>
    <w:p>
      <w:pPr>
        <w:spacing w:after="120" w:line="276"/>
      </w:pPr>
      <w:r>
        <w:t xml:space="preserve">Stress testing pushed configurations to extreme values to identify absolute limits and failure modes.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Report results from 2 extreme stress test scenarios. Focus on: breaking points, failure modes, recovery behaviors. Describe what happens when the system is pushed beyond identified thresholds.</w:t>
      </w:r>
      <w:r>
        <w:rPr>
          <w:rFonts w:ascii="Arial" w:cs="Arial" w:eastAsia="Arial" w:hAnsi="Arial"/>
          <w:b/>
          <w:bCs/>
          <w:i/>
          <w:iCs/>
          <w:color w:val="856404"/>
          <w:sz w:val="20"/>
          <w:szCs w:val="20"/>
        </w:rPr>
        <w:t xml:space="preserve">]</w:t>
      </w:r>
    </w:p>
    <w:p>
      <w:r>
        <w:br w:type="page"/>
      </w:r>
    </w:p>
    <w:p>
      <w:pPr>
        <w:pStyle w:val="Heading1"/>
        <w:spacing w:before="360" w:after="200"/>
      </w:pPr>
      <w:r>
        <w:t xml:space="preserve">5. Economic Analysis Results</w:t>
      </w:r>
    </w:p>
    <w:p>
      <w:pPr>
        <w:spacing w:after="120" w:line="276"/>
      </w:pPr>
      <w:r>
        <w:t xml:space="preserve">This section presents results from our economic topology analysis, demonstrating that the distribution of economic weight across network partitions significantly affects consensus outcomes beyond what technical metrics alone predict.</w:t>
      </w:r>
    </w:p>
    <w:p>
      <w:pPr>
        <w:pStyle w:val="Heading2"/>
        <w:spacing w:before="280" w:after="160"/>
      </w:pPr>
      <w:r>
        <w:t xml:space="preserve">5.1 Dual-Metric Model Validation</w:t>
      </w:r>
    </w:p>
    <w:p>
      <w:pPr>
        <w:spacing w:after="120" w:line="276"/>
      </w:pPr>
      <w:r>
        <w:t xml:space="preserve">We validated the dual-metric consensus weight model (custody + volume) by comparing its predictions against observed fork resolution outcomes in our test scenarios. The model assigns each node a consensus weight based on the formula described in Section 3.3.1, and predicts that fork resolution will favor the partition with greater aggregate economic weight, independent of hashrate distribution.</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Report validation results: prediction accuracy across tested scenarios. Compare dual-metric model performance against hashrate-only prediction and node-count-only prediction. Include table or figure showing comparative accuracy.</w:t>
      </w:r>
      <w:r>
        <w:rPr>
          <w:rFonts w:ascii="Arial" w:cs="Arial" w:eastAsia="Arial" w:hAnsi="Arial"/>
          <w:b/>
          <w:bCs/>
          <w:i/>
          <w:iCs/>
          <w:color w:val="856404"/>
          <w:sz w:val="20"/>
          <w:szCs w:val="20"/>
        </w:rPr>
        <w:t xml:space="preserve">]</w:t>
      </w:r>
    </w:p>
    <w:p>
      <w:pPr>
        <w:pStyle w:val="Heading2"/>
        <w:spacing w:before="280" w:after="160"/>
      </w:pPr>
      <w:r>
        <w:t xml:space="preserve">5.2 Economic Weight Distribution Effects</w:t>
      </w:r>
    </w:p>
    <w:p>
      <w:pPr>
        <w:spacing w:after="120" w:line="276"/>
      </w:pPr>
      <w:r>
        <w:t xml:space="preserve">We tested three key economic topology scenarios to examine how the distribution of custody and volume across node roles affects fork dynamics.</w:t>
      </w:r>
    </w:p>
    <w:p>
      <w:pPr>
        <w:pStyle w:val="Heading3"/>
        <w:spacing w:before="240" w:after="120"/>
      </w:pPr>
      <w:r>
        <w:t xml:space="preserve">5.2.1 Custody–Volume Conflict</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Report results from custody-volume-conflict scenario: what happens when custody-weighted nodes favor one fork and volume-weighted nodes favor another? Which metric is more predictive? Source: existing scenario test results.</w:t>
      </w:r>
      <w:r>
        <w:rPr>
          <w:rFonts w:ascii="Arial" w:cs="Arial" w:eastAsia="Arial" w:hAnsi="Arial"/>
          <w:b/>
          <w:bCs/>
          <w:i/>
          <w:iCs/>
          <w:color w:val="856404"/>
          <w:sz w:val="20"/>
          <w:szCs w:val="20"/>
        </w:rPr>
        <w:t xml:space="preserve">]</w:t>
      </w:r>
    </w:p>
    <w:p>
      <w:pPr>
        <w:pStyle w:val="Heading3"/>
        <w:spacing w:before="240" w:after="120"/>
      </w:pPr>
      <w:r>
        <w:t xml:space="preserve">5.2.2 Critical 50–50 Split</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Report results from critical-50-50-split scenario: near-balanced economic weight on both sides of a fork. Does the system oscillate? How long does resolution take? What breaks the symmetry? Source: existing scenario test results.</w:t>
      </w:r>
      <w:r>
        <w:rPr>
          <w:rFonts w:ascii="Arial" w:cs="Arial" w:eastAsia="Arial" w:hAnsi="Arial"/>
          <w:b/>
          <w:bCs/>
          <w:i/>
          <w:iCs/>
          <w:color w:val="856404"/>
          <w:sz w:val="20"/>
          <w:szCs w:val="20"/>
        </w:rPr>
        <w:t xml:space="preserve">]</w:t>
      </w:r>
    </w:p>
    <w:p>
      <w:pPr>
        <w:pStyle w:val="Heading3"/>
        <w:spacing w:before="240" w:after="120"/>
      </w:pPr>
      <w:r>
        <w:t xml:space="preserve">5.2.3 Single Major Exchange Fork</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Report results from single-major-exchange-fork scenario: one dominant economic actor (exchange) on the minority chain. How much economic weight can a single actor contribute to sustain a minority fork? Source: existing scenario test results.</w:t>
      </w:r>
      <w:r>
        <w:rPr>
          <w:rFonts w:ascii="Arial" w:cs="Arial" w:eastAsia="Arial" w:hAnsi="Arial"/>
          <w:b/>
          <w:bCs/>
          <w:i/>
          <w:iCs/>
          <w:color w:val="856404"/>
          <w:sz w:val="20"/>
          <w:szCs w:val="20"/>
        </w:rPr>
        <w:t xml:space="preserve">]</w:t>
      </w:r>
    </w:p>
    <w:p>
      <w:pPr>
        <w:pStyle w:val="Heading2"/>
        <w:spacing w:before="280" w:after="160"/>
      </w:pPr>
      <w:r>
        <w:t xml:space="preserve">5.3 Risk Scoring Framework</w:t>
      </w:r>
    </w:p>
    <w:p>
      <w:pPr>
        <w:spacing w:after="120" w:line="276"/>
      </w:pPr>
      <w:r>
        <w:t xml:space="preserve">Building on the dual-metric model and criticality scoring described in Section 3.4.2, we develop an integrated risk scoring framework that combines technical consensus health with economic topology analysis. This framework assigns a composite risk score to any given network configuration based on both the likelihood of a consensus failure and the expected economic severity of such a failure.</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Present the risk scoring framework with calibrated weights. Include risk matrix heatmap showing technical risk vs. economic risk for tested scenarios. Source: ANALYSIS_RESULTS.md</w:t>
      </w:r>
      <w:r>
        <w:rPr>
          <w:rFonts w:ascii="Arial" w:cs="Arial" w:eastAsia="Arial" w:hAnsi="Arial"/>
          <w:b/>
          <w:bCs/>
          <w:i/>
          <w:iCs/>
          <w:color w:val="856404"/>
          <w:sz w:val="20"/>
          <w:szCs w:val="20"/>
        </w:rPr>
        <w:t xml:space="preserve">]</w:t>
      </w:r>
    </w:p>
    <w:p>
      <w:r>
        <w:br w:type="page"/>
      </w:r>
    </w:p>
    <w:p>
      <w:pPr>
        <w:pStyle w:val="Heading1"/>
        <w:spacing w:before="360" w:after="200"/>
      </w:pPr>
      <w:r>
        <w:t xml:space="preserve">6. Critical Scenarios Catalog</w:t>
      </w:r>
    </w:p>
    <w:p>
      <w:pPr>
        <w:spacing w:after="120" w:line="276"/>
      </w:pPr>
      <w:r>
        <w:t xml:space="preserve">This section presents the most significant critical scenarios identified through our systematic testing. Each scenario includes its configuration parameters, observed behavior, risk classification, and recommended mitigations. We present the three to four most critical scenarios in detail, with the full catalog available in supplementary materials.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Present 3–4 most critical scenarios in detail. For each scenario include: (1) Configuration description, (2) Observed behavior (technical + economic), (3) Risk classification (Critical/High/Medium), (4) Reproduction steps (Warnet commands), (5) Mitigation recommendations. Source: CRITICAL_SCENARIOS_CATALOG.md. Target: 1–1.5 pages per scenario.</w:t>
      </w:r>
      <w:r>
        <w:rPr>
          <w:rFonts w:ascii="Arial" w:cs="Arial" w:eastAsia="Arial" w:hAnsi="Arial"/>
          <w:b/>
          <w:bCs/>
          <w:i/>
          <w:iCs/>
          <w:color w:val="856404"/>
          <w:sz w:val="20"/>
          <w:szCs w:val="20"/>
        </w:rPr>
        <w:t xml:space="preserve">]</w:t>
      </w:r>
    </w:p>
    <w:p>
      <w:pPr>
        <w:pStyle w:val="Heading2"/>
        <w:spacing w:before="280" w:after="160"/>
      </w:pPr>
      <w:r>
        <w:t xml:space="preserve">6.1 Scenario 1: [Title]</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Most critical scenario — detail here</w:t>
      </w:r>
      <w:r>
        <w:rPr>
          <w:rFonts w:ascii="Arial" w:cs="Arial" w:eastAsia="Arial" w:hAnsi="Arial"/>
          <w:b/>
          <w:bCs/>
          <w:i/>
          <w:iCs/>
          <w:color w:val="856404"/>
          <w:sz w:val="20"/>
          <w:szCs w:val="20"/>
        </w:rPr>
        <w:t xml:space="preserve">]</w:t>
      </w:r>
    </w:p>
    <w:p>
      <w:pPr>
        <w:pStyle w:val="Heading2"/>
        <w:spacing w:before="280" w:after="160"/>
      </w:pPr>
      <w:r>
        <w:t xml:space="preserve">6.2 Scenario 2: [Title]</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Second most critical scenario — detail here</w:t>
      </w:r>
      <w:r>
        <w:rPr>
          <w:rFonts w:ascii="Arial" w:cs="Arial" w:eastAsia="Arial" w:hAnsi="Arial"/>
          <w:b/>
          <w:bCs/>
          <w:i/>
          <w:iCs/>
          <w:color w:val="856404"/>
          <w:sz w:val="20"/>
          <w:szCs w:val="20"/>
        </w:rPr>
        <w:t xml:space="preserve">]</w:t>
      </w:r>
    </w:p>
    <w:p>
      <w:pPr>
        <w:pStyle w:val="Heading2"/>
        <w:spacing w:before="280" w:after="160"/>
      </w:pPr>
      <w:r>
        <w:t xml:space="preserve">6.3 Scenario 3: [Title]</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Third most critical scenario — detail here</w:t>
      </w:r>
      <w:r>
        <w:rPr>
          <w:rFonts w:ascii="Arial" w:cs="Arial" w:eastAsia="Arial" w:hAnsi="Arial"/>
          <w:b/>
          <w:bCs/>
          <w:i/>
          <w:iCs/>
          <w:color w:val="856404"/>
          <w:sz w:val="20"/>
          <w:szCs w:val="20"/>
        </w:rPr>
        <w:t xml:space="preserve">]</w:t>
      </w:r>
    </w:p>
    <w:p>
      <w:pPr>
        <w:pStyle w:val="Heading2"/>
        <w:spacing w:before="280" w:after="160"/>
      </w:pPr>
      <w:r>
        <w:t xml:space="preserve">6.4 Scenario Summary and Classification</w:t>
      </w:r>
    </w:p>
    <w:p>
      <w:pPr>
        <w:spacing w:after="120" w:line="276"/>
      </w:pPr>
      <w:r>
        <w:t xml:space="preserve">Across our full testing program, we identified and classified scenarios by severity.</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Insert summary table: all tested scenarios with their risk classifications, key parameters, and one-line descriptions. Include counts by severity level: N Critical, N High, N Medium, N Low.</w:t>
      </w:r>
      <w:r>
        <w:rPr>
          <w:rFonts w:ascii="Arial" w:cs="Arial" w:eastAsia="Arial" w:hAnsi="Arial"/>
          <w:b/>
          <w:bCs/>
          <w:i/>
          <w:iCs/>
          <w:color w:val="856404"/>
          <w:sz w:val="20"/>
          <w:szCs w:val="20"/>
        </w:rPr>
        <w:t xml:space="preserve">]</w:t>
      </w:r>
    </w:p>
    <w:p>
      <w:r>
        <w:br w:type="page"/>
      </w:r>
    </w:p>
    <w:p>
      <w:pPr>
        <w:pStyle w:val="Heading1"/>
        <w:spacing w:before="360" w:after="200"/>
      </w:pPr>
      <w:r>
        <w:t xml:space="preserve">7. Discussion</w:t>
      </w:r>
    </w:p>
    <w:p>
      <w:pPr>
        <w:pStyle w:val="Heading2"/>
        <w:spacing w:before="280" w:after="160"/>
      </w:pPr>
      <w:r>
        <w:t xml:space="preserve">7.1 Interpretation of Key Findings</w:t>
      </w:r>
    </w:p>
    <w:p>
      <w:pPr>
        <w:spacing w:after="120" w:line="276"/>
      </w:pPr>
      <w:r>
        <w:t xml:space="preserve">Our results demonstrate that configuration heterogeneity in Bitcoin networks creates measurable risks to consensus stability, and that these risks can be systematically identified and quantified through controlled simulation. Several findings merit particular discussion.</w:t>
      </w:r>
    </w:p>
    <w:p>
      <w:pPr>
        <w:spacing w:after="120" w:line="276"/>
      </w:pPr>
      <w:r>
        <w:t xml:space="preserve">First, version compatibility thresholds are not binary. The transition from stable to at-risk behavior occurs gradually as the proportion of nodes running divergent versions increases, with identifiable inflection points that vary by the severity of the protocol differences between versions. This suggests that network monitoring focused on version distribution could provide early warning of emerging risks.</w:t>
      </w:r>
    </w:p>
    <w:p>
      <w:pPr>
        <w:spacing w:after="120" w:line="276"/>
      </w:pPr>
      <w:r>
        <w:t xml:space="preserve">Second, the economic topology of a network partition is a stronger predictor of fork resolution outcomes than hashrate majority. This finding, if confirmed at scale, has significant implications for how the Bitcoin community assesses the risks of contentious changes and for how node operators evaluate their own role in network consensus.</w:t>
      </w:r>
    </w:p>
    <w:p>
      <w:pPr>
        <w:spacing w:after="120" w:line="276"/>
      </w:pPr>
      <w:r>
        <w:t xml:space="preserve">Third, multi-variable interactions can produce emergent behaviors not predicted by single-variable analysis. Resource-constrained nodes running older software versions, for example, may exhibit failure modes that neither resource constraints nor version differences alone would produce.</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Expand discussion with specific references to empirical findings from Sections 4–6. Discuss surprising results, confirm or refute initial hypotheses.</w:t>
      </w:r>
      <w:r>
        <w:rPr>
          <w:rFonts w:ascii="Arial" w:cs="Arial" w:eastAsia="Arial" w:hAnsi="Arial"/>
          <w:b/>
          <w:bCs/>
          <w:i/>
          <w:iCs/>
          <w:color w:val="856404"/>
          <w:sz w:val="20"/>
          <w:szCs w:val="20"/>
        </w:rPr>
        <w:t xml:space="preserve">]</w:t>
      </w:r>
    </w:p>
    <w:p>
      <w:pPr>
        <w:pStyle w:val="Heading2"/>
        <w:spacing w:before="280" w:after="160"/>
      </w:pPr>
      <w:r>
        <w:t xml:space="preserve">7.2 Implications for Node Operators</w:t>
      </w:r>
    </w:p>
    <w:p>
      <w:pPr>
        <w:spacing w:after="120" w:line="276"/>
      </w:pPr>
      <w:r>
        <w:t xml:space="preserve">Our findings have practical implications for Bitcoin node operators. Version upgrade decisions should consider not only the features and bug fixes in new releases but also the version distribution of the broader network. Resource provisioning should account for the increased demands that heterogeneous network conditions can place on nodes. Policy configuration should be evaluated for compatibility with the policies of well-connected peers to avoid inadvertent isolation.</w:t>
      </w:r>
    </w:p>
    <w:p>
      <w:pPr>
        <w:pStyle w:val="Heading2"/>
        <w:spacing w:before="280" w:after="160"/>
      </w:pPr>
      <w:r>
        <w:t xml:space="preserve">7.3 Implications for Protocol Development</w:t>
      </w:r>
    </w:p>
    <w:p>
      <w:pPr>
        <w:spacing w:after="120" w:line="276"/>
      </w:pPr>
      <w:r>
        <w:t xml:space="preserve">For protocol developers, our work provides a methodology for pre-deployment testing of proposed changes under realistic heterogeneity conditions. The framework could be used to evaluate the impact of new consensus rules on networks with realistic version distributions, resource profiles, and economic topologies, potentially identifying deployment risks before activation.</w:t>
      </w:r>
    </w:p>
    <w:p>
      <w:pPr>
        <w:pStyle w:val="Heading2"/>
        <w:spacing w:before="280" w:after="160"/>
      </w:pPr>
      <w:r>
        <w:t xml:space="preserve">7.4 Limitations</w:t>
      </w:r>
    </w:p>
    <w:p>
      <w:pPr>
        <w:spacing w:after="120" w:line="276"/>
      </w:pPr>
      <w:r>
        <w:t xml:space="preserve">Several limitations of our work should be noted. Our test networks operate at reduced scale (25–30 nodes versus tens of thousands in the live network), which may not capture emergent behaviors that arise only at scale. Our economic metadata is assigned rather than emergent, and the relationship between assigned economic weights and real-world economic influence is necessarily approximate. Our testing duration (2–4 hours per scenario) may miss behaviors that emerge over longer time horizons. Finally, our fork resolution model, while grounded in historical observations, has not been validated against live network events.</w:t>
      </w:r>
    </w:p>
    <w:p>
      <w:pPr>
        <w:pStyle w:val="Heading2"/>
        <w:spacing w:before="280" w:after="160"/>
      </w:pPr>
      <w:r>
        <w:t xml:space="preserve">7.5 Future Work: Economic Causality (Phase 2)</w:t>
      </w:r>
    </w:p>
    <w:p>
      <w:pPr>
        <w:spacing w:after="120" w:line="276"/>
      </w:pPr>
      <w:r>
        <w:t xml:space="preserve">This paper establishes </w:t>
      </w:r>
      <w:r>
        <w:rPr>
          <w:i/>
          <w:iCs/>
        </w:rPr>
        <w:t xml:space="preserve">what</w:t>
      </w:r>
      <w:r>
        <w:t xml:space="preserve"> configurations create consensus risks and </w:t>
      </w:r>
      <w:r>
        <w:rPr>
          <w:i/>
          <w:iCs/>
        </w:rPr>
        <w:t xml:space="preserve">how</w:t>
      </w:r>
      <w:r>
        <w:t xml:space="preserve"> to measure them. A natural extension is to investigate </w:t>
      </w:r>
      <w:r>
        <w:rPr>
          <w:i/>
          <w:iCs/>
        </w:rPr>
        <w:t xml:space="preserve">why</w:t>
      </w:r>
      <w:r>
        <w:t xml:space="preserve"> risky configurations arise in the first place. Our planned Phase 2 research will examine the causal mechanisms by which economic incentives influence node operators’ configuration decisions, including version upgrade timing, resource allocation, and policy choices. This work will integrate economic modeling, agent-based simulation, and qualitative research (node operator surveys and historical case studies) with the validated testing framework established here.</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Briefly describe Phase 2 research questions (RQ1–RQ4 from PHASE_2_ECONOMIC_CAUSALITY_PLAN.md). Keep to 1 paragraph — this is a preview, not a full proposal.</w:t>
      </w:r>
      <w:r>
        <w:rPr>
          <w:rFonts w:ascii="Arial" w:cs="Arial" w:eastAsia="Arial" w:hAnsi="Arial"/>
          <w:b/>
          <w:bCs/>
          <w:i/>
          <w:iCs/>
          <w:color w:val="856404"/>
          <w:sz w:val="20"/>
          <w:szCs w:val="20"/>
        </w:rPr>
        <w:t xml:space="preserve">]</w:t>
      </w:r>
    </w:p>
    <w:p>
      <w:r>
        <w:br w:type="page"/>
      </w:r>
    </w:p>
    <w:p>
      <w:pPr>
        <w:pStyle w:val="Heading1"/>
        <w:spacing w:before="360" w:after="200"/>
      </w:pPr>
      <w:r>
        <w:t xml:space="preserve">8. Conclusion</w:t>
      </w:r>
    </w:p>
    <w:p>
      <w:pPr>
        <w:spacing w:after="120" w:line="276"/>
      </w:pPr>
      <w:r>
        <w:t xml:space="preserve">We have presented a systematic framework for discovering critical scenarios in heterogeneous Bitcoin networks, combining controlled simulation through Warnet with a novel dual-layer analysis model that integrates technical consensus metrics with economic topology metadata. Our approach addresses a significant gap in the Bitcoin ecosystem’s tools for assessing consensus risk: the lack of empirical methods for identifying dangerous configuration combinations before they manifest in the live network.</w:t>
      </w:r>
    </w:p>
    <w:p>
      <w:pPr>
        <w:spacing w:after="120" w:line="276"/>
      </w:pPr>
      <w:r>
        <w:t xml:space="preserve">Our initial empirical findings demonstrate that configuration heterogeneity creates measurable and quantifiable risks, that economic topology is a critical determinant of fork resolution outcomes, and that multi-variable interactions can produce emergent failure modes not captured by single-dimension analysis. The critical scenarios catalog provides immediately actionable guidance for node operators and protocol developers.</w:t>
      </w:r>
    </w:p>
    <w:p>
      <w:pPr>
        <w:spacing w:after="120" w:line="276"/>
      </w:pPr>
      <w:r>
        <w:t xml:space="preserve">Looking forward, we see this work as a foundation for a broader research program investigating the economic causality of consensus risk in decentralized networks. By understanding not only what configurations are dangerous but why they arise, we can develop more effective strategies for maintaining the resilience of Bitcoin and similar systems.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Update conclusion with specific numbers: N scenarios tested, N critical thresholds identified, N critical scenarios cataloged. Add 1–2 sentences on the most impactful specific finding.</w:t>
      </w:r>
      <w:r>
        <w:rPr>
          <w:rFonts w:ascii="Arial" w:cs="Arial" w:eastAsia="Arial" w:hAnsi="Arial"/>
          <w:b/>
          <w:bCs/>
          <w:i/>
          <w:iCs/>
          <w:color w:val="856404"/>
          <w:sz w:val="20"/>
          <w:szCs w:val="20"/>
        </w:rPr>
        <w:t xml:space="preserve">]</w:t>
      </w:r>
    </w:p>
    <w:p>
      <w:r>
        <w:br w:type="page"/>
      </w:r>
    </w:p>
    <w:p>
      <w:pPr>
        <w:pStyle w:val="Heading1"/>
        <w:spacing w:before="360" w:after="200"/>
      </w:pPr>
      <w:r>
        <w:t xml:space="preserve">References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Complete reference list. Target 15–25 citations. Key categories to include: (1) Bitcoin protocol specifications (BIPs), (2) Warnet documentation, (3) Bitcoin network measurement studies, (4) Fork analysis literature (BCH, SegWit2x), (5) Blockchain testing frameworks, (6) Economic consensus theory, (7) Mempool and fee market analysis, (8) Distributed systems resilience. Use consistent citation format per workshop guidelines.</w:t>
      </w:r>
      <w:r>
        <w:rPr>
          <w:rFonts w:ascii="Arial" w:cs="Arial" w:eastAsia="Arial" w:hAnsi="Arial"/>
          <w:b/>
          <w:bCs/>
          <w:i/>
          <w:iCs/>
          <w:color w:val="856404"/>
          <w:sz w:val="20"/>
          <w:szCs w:val="20"/>
        </w:rPr>
        <w:t xml:space="preserve">]</w:t>
      </w:r>
    </w:p>
    <w:p>
      <w:pPr>
        <w:spacing w:after="80" w:line="276"/>
      </w:pPr>
      <w:r>
        <w:t xml:space="preserve">[1] Nakamoto, S. (2008). Bitcoin: A Peer-to-Peer Electronic Cash System.</w:t>
      </w:r>
    </w:p>
    <w:p>
      <w:pPr>
        <w:spacing w:after="80" w:line="276"/>
      </w:pPr>
      <w:r>
        <w:t xml:space="preserve">[2] Lombrozo, E., Lau, J., &amp; Wuille, P. (2015). BIP 141: Segregated Witness (Consensus Layer).</w:t>
      </w:r>
    </w:p>
    <w:p>
      <w:pPr>
        <w:spacing w:after="80" w:line="276"/>
      </w:pPr>
      <w:r>
        <w:t xml:space="preserve">[3] Wuille, P., Nick, J., &amp; Towns, A. (2020). BIP 341: Taproot: SegWit version 1 spending rules.</w:t>
      </w:r>
    </w:p>
    <w:p>
      <w:pPr>
        <w:spacing w:after="80" w:line="276"/>
      </w:pPr>
      <w:r>
        <w:t xml:space="preserve">[4] Warnet: Bitcoin Network Testing Framework. https://github.com/bitcoin-dev-project/warnet</w:t>
      </w:r>
    </w:p>
    <w:p>
      <w:pPr>
        <w:spacing w:after="80" w:line="276"/>
      </w:pPr>
      <w:r>
        <w:t xml:space="preserve">[5] </w:t>
      </w:r>
      <w:r>
        <w:rPr>
          <w:i/>
          <w:iCs/>
        </w:rPr>
        <w:t xml:space="preserve">[Additional references to be added]</w:t>
      </w:r>
    </w:p>
    <w:p>
      <w:r>
        <w:br w:type="page"/>
      </w:r>
    </w:p>
    <w:p>
      <w:pPr>
        <w:pStyle w:val="Heading1"/>
        <w:spacing w:before="360" w:after="200"/>
      </w:pPr>
      <w:r>
        <w:t xml:space="preserve">Appendix A: Scenario Configuration Templates</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Include YAML templates for key scenario types. Reference the warnet repository structure.</w:t>
      </w:r>
      <w:r>
        <w:rPr>
          <w:rFonts w:ascii="Arial" w:cs="Arial" w:eastAsia="Arial" w:hAnsi="Arial"/>
          <w:b/>
          <w:bCs/>
          <w:i/>
          <w:iCs/>
          <w:color w:val="856404"/>
          <w:sz w:val="20"/>
          <w:szCs w:val="20"/>
        </w:rPr>
        <w:t xml:space="preserve">]</w:t>
      </w:r>
    </w:p>
    <w:p>
      <w:pPr>
        <w:spacing w:after="80"/>
      </w:pPr>
    </w:p>
    <w:p>
      <w:pPr>
        <w:pStyle w:val="Heading1"/>
        <w:spacing w:before="360" w:after="200"/>
      </w:pPr>
      <w:r>
        <w:t xml:space="preserve">Appendix B: Fork Simulation Model Specification</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Summarize or reference the full FORK_SIMULATION_MODEL.md. Include the price determination formula, node decision models, and feedback loop diagrams.</w:t>
      </w:r>
      <w:r>
        <w:rPr>
          <w:rFonts w:ascii="Arial" w:cs="Arial" w:eastAsia="Arial" w:hAnsi="Arial"/>
          <w:b/>
          <w:bCs/>
          <w:i/>
          <w:iCs/>
          <w:color w:val="856404"/>
          <w:sz w:val="20"/>
          <w:szCs w:val="20"/>
        </w:rPr>
        <w:t xml:space="preserve">]</w:t>
      </w:r>
    </w:p>
    <w:p>
      <w:pPr>
        <w:spacing w:after="80"/>
      </w:pPr>
    </w:p>
    <w:p>
      <w:pPr>
        <w:pStyle w:val="Heading1"/>
        <w:spacing w:before="360" w:after="200"/>
      </w:pPr>
      <w:r>
        <w:t xml:space="preserve">Appendix C: Complete Scenario Catalog</w:t>
      </w:r>
    </w:p>
    <w:p>
      <w:pPr>
        <w:shd w:fill="FFF3CD" w:val="clear"/>
        <w:spacing w:after="120" w:line="276"/>
        <w:ind w:left="360" w:right="360"/>
      </w:pPr>
      <w:r>
        <w:rPr>
          <w:rFonts w:ascii="Arial" w:cs="Arial" w:eastAsia="Arial" w:hAnsi="Arial"/>
          <w:b/>
          <w:bCs/>
          <w:i/>
          <w:iCs/>
          <w:color w:val="856404"/>
          <w:sz w:val="20"/>
          <w:szCs w:val="20"/>
        </w:rPr>
        <w:t xml:space="preserve">[TODO: </w:t>
      </w:r>
      <w:r>
        <w:rPr>
          <w:rFonts w:ascii="Arial" w:cs="Arial" w:eastAsia="Arial" w:hAnsi="Arial"/>
          <w:i/>
          <w:iCs/>
          <w:color w:val="856404"/>
          <w:sz w:val="20"/>
          <w:szCs w:val="20"/>
        </w:rPr>
        <w:t xml:space="preserve">Full table of all tested scenarios with parameters, results summary, and risk classifications. This is the extended version of the summary in Section 6.4.</w:t>
      </w:r>
      <w:r>
        <w:rPr>
          <w:rFonts w:ascii="Arial" w:cs="Arial" w:eastAsia="Arial" w:hAnsi="Arial"/>
          <w:b/>
          <w:bCs/>
          <w:i/>
          <w:iCs/>
          <w:color w:val="856404"/>
          <w:sz w:val="20"/>
          <w:szCs w:val="20"/>
        </w:rPr>
        <w:t xml:space="preser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Quantifying Bitcoin Network Resilience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2026-02-15T13:32:31.431Z</dcterms:created>
  <dcterms:modified xsi:type="dcterms:W3CDTF">2026-02-15T13:32:31.432Z</dcterms:modified>
</cp:coreProperties>
</file>

<file path=docProps/custom.xml><?xml version="1.0" encoding="utf-8"?>
<Properties xmlns="http://schemas.openxmlformats.org/officeDocument/2006/custom-properties" xmlns:vt="http://schemas.openxmlformats.org/officeDocument/2006/docPropsVTypes"/>
</file>