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1B365D"/>
          <w:sz w:val="44"/>
        </w:rPr>
        <w:t>Dictionnaire biographique &amp; Synthèse historique</w:t>
        <w:br/>
        <w:t>de New Liverpool (Pages 15 à 60)</w:t>
      </w:r>
    </w:p>
    <w:p>
      <w:pPr>
        <w:jc w:val="center"/>
      </w:pPr>
      <w:r>
        <w:rPr>
          <w:rFonts w:ascii="Arial" w:hAnsi="Arial"/>
          <w:i/>
          <w:color w:val="555555"/>
          <w:sz w:val="24"/>
        </w:rPr>
        <w:t>Dépouillement de l'ouvrage de Julie Doyon (Éditions Septentrion)</w:t>
      </w:r>
    </w:p>
    <w:p/>
    <w:p>
      <w:pPr>
        <w:pStyle w:val="Heading1"/>
      </w:pPr>
      <w:r>
        <w:rPr>
          <w:rFonts w:ascii="Georgia" w:hAnsi="Georgia"/>
          <w:color w:val="1B365D"/>
        </w:rPr>
        <w:t>1. Synthèse générale d'introduction : L'évolution du territoire</w:t>
      </w:r>
    </w:p>
    <w:p>
      <w:pPr>
        <w:spacing w:line="276" w:lineRule="auto"/>
      </w:pPr>
      <w:r>
        <w:rPr>
          <w:rFonts w:ascii="Arial" w:hAnsi="Arial"/>
          <w:sz w:val="21"/>
        </w:rPr>
        <w:t>L'étude des pages 15 à 60 retrace la transformation séculaire d'un espace littoral névralgique situé sur la rive sud du fleuve Saint-Laurent, à la jonction des rivières Chaudière et Etchemin. Autrefois halte saisonnière pour les Premières Nations, le secteur devient un foyer majeur du commerce du bois d'œuvre, de la construction navale et du transport fluvial au Bas-Canada sous l'impulsion de grandes dynasties marchandes.</w:t>
      </w:r>
    </w:p>
    <w:tbl>
      <w:tblPr>
        <w:tblW w:type="auto" w:w="0"/>
        <w:jc w:val="center"/>
        <w:tblLook w:firstColumn="1" w:firstRow="1" w:lastColumn="0" w:lastRow="0" w:noHBand="0" w:noVBand="1" w:val="04A0"/>
      </w:tblPr>
      <w:tblGrid>
        <w:gridCol w:w="3120"/>
        <w:gridCol w:w="3120"/>
        <w:gridCol w:w="3120"/>
      </w:tblGrid>
      <w:tr>
        <w:tc>
          <w:tcPr>
            <w:tcW w:type="dxa" w:w="3120"/>
            <w:shd w:fill="1B365D"/>
          </w:tcPr>
          <w:p>
            <w:r>
              <w:rPr>
                <w:rFonts w:ascii="Arial" w:hAnsi="Arial"/>
                <w:b/>
                <w:color w:val="FFFFFF"/>
              </w:rPr>
              <w:t>Période / Thème</w:t>
            </w:r>
          </w:p>
        </w:tc>
        <w:tc>
          <w:tcPr>
            <w:tcW w:type="dxa" w:w="3120"/>
            <w:shd w:fill="1B365D"/>
          </w:tcPr>
          <w:p>
            <w:r>
              <w:rPr>
                <w:rFonts w:ascii="Arial" w:hAnsi="Arial"/>
                <w:b/>
                <w:color w:val="FFFFFF"/>
              </w:rPr>
              <w:t>Développements clés</w:t>
            </w:r>
          </w:p>
        </w:tc>
        <w:tc>
          <w:tcPr>
            <w:tcW w:type="dxa" w:w="3120"/>
            <w:shd w:fill="1B365D"/>
          </w:tcPr>
          <w:p>
            <w:r>
              <w:rPr>
                <w:rFonts w:ascii="Arial" w:hAnsi="Arial"/>
                <w:b/>
                <w:color w:val="FFFFFF"/>
              </w:rPr>
              <w:t>Acteurs principaux</w:t>
            </w:r>
          </w:p>
        </w:tc>
      </w:tr>
      <w:tr>
        <w:tc>
          <w:tcPr>
            <w:tcW w:type="dxa" w:w="3120"/>
          </w:tcPr>
          <w:p>
            <w:r>
              <w:rPr>
                <w:rFonts w:ascii="Arial" w:hAnsi="Arial"/>
                <w:sz w:val="19"/>
              </w:rPr>
              <w:t>Préhistoire &amp; Régime français</w:t>
            </w:r>
          </w:p>
        </w:tc>
        <w:tc>
          <w:tcPr>
            <w:tcW w:type="dxa" w:w="3120"/>
          </w:tcPr>
          <w:p>
            <w:r>
              <w:rPr>
                <w:rFonts w:ascii="Arial" w:hAnsi="Arial"/>
                <w:sz w:val="19"/>
              </w:rPr>
              <w:t>Sites paléoindiens (Longwood), cabane d'Eustache Lambert (1651), moulin Strouds.</w:t>
            </w:r>
          </w:p>
        </w:tc>
        <w:tc>
          <w:tcPr>
            <w:tcW w:type="dxa" w:w="3120"/>
          </w:tcPr>
          <w:p>
            <w:r>
              <w:rPr>
                <w:rFonts w:ascii="Arial" w:hAnsi="Arial"/>
                <w:sz w:val="19"/>
              </w:rPr>
              <w:t>E. Lambert, F. Bissot, G. Couture, G.W. Strouds</w:t>
            </w:r>
          </w:p>
        </w:tc>
      </w:tr>
      <w:tr>
        <w:tc>
          <w:tcPr>
            <w:tcW w:type="dxa" w:w="3120"/>
          </w:tcPr>
          <w:p>
            <w:r>
              <w:rPr>
                <w:rFonts w:ascii="Arial" w:hAnsi="Arial"/>
                <w:sz w:val="19"/>
              </w:rPr>
              <w:t>Conquête &amp; Régime anglais</w:t>
            </w:r>
          </w:p>
        </w:tc>
        <w:tc>
          <w:tcPr>
            <w:tcW w:type="dxa" w:w="3120"/>
          </w:tcPr>
          <w:p>
            <w:r>
              <w:rPr>
                <w:rFonts w:ascii="Arial" w:hAnsi="Arial"/>
                <w:sz w:val="19"/>
              </w:rPr>
              <w:t>Incendies de 1759-1760, vente de Lauzon à Murray (1765), essor sous H. Caldwell.</w:t>
            </w:r>
          </w:p>
        </w:tc>
        <w:tc>
          <w:tcPr>
            <w:tcW w:type="dxa" w:w="3120"/>
          </w:tcPr>
          <w:p>
            <w:r>
              <w:rPr>
                <w:rFonts w:ascii="Arial" w:hAnsi="Arial"/>
                <w:sz w:val="19"/>
              </w:rPr>
              <w:t>J. Wolfe, É. Charest III, J. Murray, H. Caldwell</w:t>
            </w:r>
          </w:p>
        </w:tc>
      </w:tr>
      <w:tr>
        <w:tc>
          <w:tcPr>
            <w:tcW w:type="dxa" w:w="3120"/>
          </w:tcPr>
          <w:p>
            <w:r>
              <w:rPr>
                <w:rFonts w:ascii="Arial" w:hAnsi="Arial"/>
                <w:sz w:val="19"/>
              </w:rPr>
              <w:t>Âge d'or du Bois (1806-1840)</w:t>
            </w:r>
          </w:p>
        </w:tc>
        <w:tc>
          <w:tcPr>
            <w:tcW w:type="dxa" w:w="3120"/>
          </w:tcPr>
          <w:p>
            <w:r>
              <w:rPr>
                <w:rFonts w:ascii="Arial" w:hAnsi="Arial"/>
                <w:sz w:val="19"/>
              </w:rPr>
              <w:t>Blocus napoléonien, chantiers navals Hamilton, moulins Ritchie, empire Price.</w:t>
            </w:r>
          </w:p>
        </w:tc>
        <w:tc>
          <w:tcPr>
            <w:tcW w:type="dxa" w:w="3120"/>
          </w:tcPr>
          <w:p>
            <w:r>
              <w:rPr>
                <w:rFonts w:ascii="Arial" w:hAnsi="Arial"/>
                <w:sz w:val="19"/>
              </w:rPr>
              <w:t>J. Caldwell, Frères Hamilton, Frères Ritchie, W. Price</w:t>
            </w:r>
          </w:p>
        </w:tc>
      </w:tr>
      <w:tr>
        <w:tc>
          <w:tcPr>
            <w:tcW w:type="dxa" w:w="3120"/>
          </w:tcPr>
          <w:p>
            <w:r>
              <w:rPr>
                <w:rFonts w:ascii="Arial" w:hAnsi="Arial"/>
                <w:sz w:val="19"/>
              </w:rPr>
              <w:t>Monopoles &amp; Société (1840-1856)</w:t>
            </w:r>
          </w:p>
        </w:tc>
        <w:tc>
          <w:tcPr>
            <w:tcW w:type="dxa" w:w="3120"/>
          </w:tcPr>
          <w:p>
            <w:r>
              <w:rPr>
                <w:rFonts w:ascii="Arial" w:hAnsi="Arial"/>
                <w:sz w:val="19"/>
              </w:rPr>
              <w:t>Traversées à manège, régime des jetons, érection de la paroisse St-Romuald (1856).</w:t>
            </w:r>
          </w:p>
        </w:tc>
        <w:tc>
          <w:tcPr>
            <w:tcW w:type="dxa" w:w="3120"/>
          </w:tcPr>
          <w:p>
            <w:r>
              <w:rPr>
                <w:rFonts w:ascii="Arial" w:hAnsi="Arial"/>
                <w:sz w:val="19"/>
              </w:rPr>
              <w:t>P. McLeod, P. Honorat, C. Poiré, Abbé P.-T. Sax</w:t>
            </w:r>
          </w:p>
        </w:tc>
      </w:tr>
    </w:tbl>
    <w:p/>
    <w:p>
      <w:pPr>
        <w:pStyle w:val="Heading1"/>
      </w:pPr>
      <w:r>
        <w:rPr>
          <w:rFonts w:ascii="Georgia" w:hAnsi="Georgia"/>
          <w:color w:val="1B365D"/>
        </w:rPr>
        <w:t>2. Dictionnaire biographique</w:t>
      </w:r>
    </w:p>
    <w:p>
      <w:pPr>
        <w:pStyle w:val="Heading2"/>
      </w:pPr>
      <w:r>
        <w:rPr>
          <w:rFonts w:ascii="Georgia" w:hAnsi="Georgia"/>
          <w:b/>
          <w:color w:val="1B365D"/>
        </w:rPr>
        <w:t>Magdeleine Delisle (1791-1873), pionnière de New Liverpool</w:t>
      </w:r>
    </w:p>
    <w:p>
      <w:r>
        <w:rPr>
          <w:rFonts w:ascii="Arial" w:hAnsi="Arial"/>
          <w:i/>
          <w:color w:val="555555"/>
          <w:sz w:val="18"/>
        </w:rPr>
        <w:t>Source : Guy Saint-Hilaire, maître généalogiste agréé, « Magdeleine Delisle (1791-1873), pionnière de New Liverpool, prolifique souche des Hardy, Roberge, Gibson, Nolin, Pelletier et Forcade », L'Ancêtre, n° 292, vol. 37, automne 2010, p. 23-32.</w:t>
      </w:r>
    </w:p>
    <w:p>
      <w:pPr>
        <w:spacing w:line="276" w:lineRule="auto"/>
      </w:pPr>
      <w:r>
        <w:rPr>
          <w:rFonts w:ascii="Arial" w:hAnsi="Arial"/>
          <w:sz w:val="21"/>
        </w:rPr>
        <w:t>Née le 9 juillet 1791 à Saint-Jean-de-l'Île-d'Orléans, Magdeleine Delisle épouse Joseph Hardy en 1810 et s'établit avec lui à New Liverpool, où elle est abandonnée par son mari vers l'automne 1817 après cinq enfants. Devenue propriétaire d'une résidence en 1823, elle a par la suite six autres enfants, de trois pères différents, dont un compagnonnage d'une quinzaine d'années avec le marchand Jean Pelletier. Des onze enfants qu'elle a eus, neuf se marient et laissent une abondante descendance sous les patronymes Hardy, Burroughs (devenu Roberge par alliance), Gibson, Nolin, Pelletier et Forcade. Magdeleine Delisle meurt le 14 février 1873 à Saint-Romuald, à l'âge de 81 ans, laissant au moins 86 petits-enfants identifiés. Ses descendants Hardy, Roberge et Pelletier sont toujours représentés aujourd'hui à Saint-Romuald et dans le quartier de New Liverpool.</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Pr>
          <w:p>
            <w:r>
              <w:rPr>
                <w:rFonts w:ascii="Arial" w:hAnsi="Arial"/>
                <w:b/>
                <w:color w:val="FFFFFF"/>
              </w:rPr>
              <w:t>Enfant</w:t>
            </w:r>
          </w:p>
        </w:tc>
        <w:tc>
          <w:tcPr>
            <w:tcW w:type="dxa" w:w="2340"/>
            <w:shd w:fill="1B365D"/>
          </w:tcPr>
          <w:p>
            <w:r>
              <w:rPr>
                <w:rFonts w:ascii="Arial" w:hAnsi="Arial"/>
                <w:b/>
                <w:color w:val="FFFFFF"/>
              </w:rPr>
              <w:t>Conjoint</w:t>
            </w:r>
          </w:p>
        </w:tc>
        <w:tc>
          <w:tcPr>
            <w:tcW w:type="dxa" w:w="2340"/>
            <w:shd w:fill="1B365D"/>
          </w:tcPr>
          <w:p>
            <w:r>
              <w:rPr>
                <w:rFonts w:ascii="Arial" w:hAnsi="Arial"/>
                <w:b/>
                <w:color w:val="FFFFFF"/>
              </w:rPr>
              <w:t>Mariage</w:t>
            </w:r>
          </w:p>
        </w:tc>
        <w:tc>
          <w:tcPr>
            <w:tcW w:type="dxa" w:w="2340"/>
            <w:shd w:fill="1B365D"/>
          </w:tcPr>
          <w:p>
            <w:r>
              <w:rPr>
                <w:rFonts w:ascii="Arial" w:hAnsi="Arial"/>
                <w:b/>
                <w:color w:val="FFFFFF"/>
              </w:rPr>
              <w:t>Postérité</w:t>
            </w:r>
          </w:p>
        </w:tc>
      </w:tr>
      <w:tr>
        <w:tc>
          <w:tcPr>
            <w:tcW w:type="dxa" w:w="2340"/>
          </w:tcPr>
          <w:p>
            <w:r>
              <w:rPr>
                <w:rFonts w:ascii="Arial" w:hAnsi="Arial"/>
                <w:sz w:val="18"/>
              </w:rPr>
              <w:t>Joseph Hardy (fils)</w:t>
            </w:r>
          </w:p>
        </w:tc>
        <w:tc>
          <w:tcPr>
            <w:tcW w:type="dxa" w:w="2340"/>
          </w:tcPr>
          <w:p>
            <w:r>
              <w:rPr>
                <w:rFonts w:ascii="Arial" w:hAnsi="Arial"/>
                <w:sz w:val="18"/>
              </w:rPr>
              <w:t>Aveline Fortin</w:t>
            </w:r>
          </w:p>
        </w:tc>
        <w:tc>
          <w:tcPr>
            <w:tcW w:type="dxa" w:w="2340"/>
          </w:tcPr>
          <w:p>
            <w:r>
              <w:rPr>
                <w:rFonts w:ascii="Arial" w:hAnsi="Arial"/>
                <w:sz w:val="18"/>
              </w:rPr>
              <w:t>14 fév. 1848, Plessisville</w:t>
            </w:r>
          </w:p>
        </w:tc>
        <w:tc>
          <w:tcPr>
            <w:tcW w:type="dxa" w:w="2340"/>
          </w:tcPr>
          <w:p>
            <w:r>
              <w:rPr>
                <w:rFonts w:ascii="Arial" w:hAnsi="Arial"/>
                <w:sz w:val="18"/>
              </w:rPr>
              <w:t>8 enfants</w:t>
            </w:r>
          </w:p>
        </w:tc>
      </w:tr>
      <w:tr>
        <w:tc>
          <w:tcPr>
            <w:tcW w:type="dxa" w:w="2340"/>
          </w:tcPr>
          <w:p>
            <w:r>
              <w:rPr>
                <w:rFonts w:ascii="Arial" w:hAnsi="Arial"/>
                <w:sz w:val="18"/>
              </w:rPr>
              <w:t>David Hardy</w:t>
            </w:r>
          </w:p>
        </w:tc>
        <w:tc>
          <w:tcPr>
            <w:tcW w:type="dxa" w:w="2340"/>
          </w:tcPr>
          <w:p>
            <w:r>
              <w:rPr>
                <w:rFonts w:ascii="Arial" w:hAnsi="Arial"/>
                <w:sz w:val="18"/>
              </w:rPr>
              <w:t>Rose-de-Lima Roberge</w:t>
            </w:r>
          </w:p>
        </w:tc>
        <w:tc>
          <w:tcPr>
            <w:tcW w:type="dxa" w:w="2340"/>
          </w:tcPr>
          <w:p>
            <w:r>
              <w:rPr>
                <w:rFonts w:ascii="Arial" w:hAnsi="Arial"/>
                <w:sz w:val="18"/>
              </w:rPr>
              <w:t>5 oct. 1841, St-Jean-Chrysostome</w:t>
            </w:r>
          </w:p>
        </w:tc>
        <w:tc>
          <w:tcPr>
            <w:tcW w:type="dxa" w:w="2340"/>
          </w:tcPr>
          <w:p>
            <w:r>
              <w:rPr>
                <w:rFonts w:ascii="Arial" w:hAnsi="Arial"/>
                <w:sz w:val="18"/>
              </w:rPr>
              <w:t>12 enfants — souche des Hardy de Saint-Romuald</w:t>
            </w:r>
          </w:p>
        </w:tc>
      </w:tr>
      <w:tr>
        <w:tc>
          <w:tcPr>
            <w:tcW w:type="dxa" w:w="2340"/>
          </w:tcPr>
          <w:p>
            <w:r>
              <w:rPr>
                <w:rFonts w:ascii="Arial" w:hAnsi="Arial"/>
                <w:sz w:val="18"/>
              </w:rPr>
              <w:t>Henriette Hardy</w:t>
            </w:r>
          </w:p>
        </w:tc>
        <w:tc>
          <w:tcPr>
            <w:tcW w:type="dxa" w:w="2340"/>
          </w:tcPr>
          <w:p>
            <w:r>
              <w:rPr>
                <w:rFonts w:ascii="Arial" w:hAnsi="Arial"/>
                <w:sz w:val="18"/>
              </w:rPr>
              <w:t>Télesphore Marchand</w:t>
            </w:r>
          </w:p>
        </w:tc>
        <w:tc>
          <w:tcPr>
            <w:tcW w:type="dxa" w:w="2340"/>
          </w:tcPr>
          <w:p>
            <w:r>
              <w:rPr>
                <w:rFonts w:ascii="Arial" w:hAnsi="Arial"/>
                <w:sz w:val="18"/>
              </w:rPr>
              <w:t>1er fév. 1848, Plessisville</w:t>
            </w:r>
          </w:p>
        </w:tc>
        <w:tc>
          <w:tcPr>
            <w:tcW w:type="dxa" w:w="2340"/>
          </w:tcPr>
          <w:p>
            <w:r>
              <w:rPr>
                <w:rFonts w:ascii="Arial" w:hAnsi="Arial"/>
                <w:sz w:val="18"/>
              </w:rPr>
              <w:t>6 enfants</w:t>
            </w:r>
          </w:p>
        </w:tc>
      </w:tr>
      <w:tr>
        <w:tc>
          <w:tcPr>
            <w:tcW w:type="dxa" w:w="2340"/>
          </w:tcPr>
          <w:p>
            <w:r>
              <w:rPr>
                <w:rFonts w:ascii="Arial" w:hAnsi="Arial"/>
                <w:sz w:val="18"/>
              </w:rPr>
              <w:t>Élisabeth (Isabelle) Burroughs</w:t>
            </w:r>
          </w:p>
        </w:tc>
        <w:tc>
          <w:tcPr>
            <w:tcW w:type="dxa" w:w="2340"/>
          </w:tcPr>
          <w:p>
            <w:r>
              <w:rPr>
                <w:rFonts w:ascii="Arial" w:hAnsi="Arial"/>
                <w:sz w:val="18"/>
              </w:rPr>
              <w:t>Hubert Roberge</w:t>
            </w:r>
          </w:p>
        </w:tc>
        <w:tc>
          <w:tcPr>
            <w:tcW w:type="dxa" w:w="2340"/>
          </w:tcPr>
          <w:p>
            <w:r>
              <w:rPr>
                <w:rFonts w:ascii="Arial" w:hAnsi="Arial"/>
                <w:sz w:val="18"/>
              </w:rPr>
              <w:t>21 janv. 1840, St-Jean-Chrysostome</w:t>
            </w:r>
          </w:p>
        </w:tc>
        <w:tc>
          <w:tcPr>
            <w:tcW w:type="dxa" w:w="2340"/>
          </w:tcPr>
          <w:p>
            <w:r>
              <w:rPr>
                <w:rFonts w:ascii="Arial" w:hAnsi="Arial"/>
                <w:sz w:val="18"/>
              </w:rPr>
              <w:t>14 enfants</w:t>
            </w:r>
          </w:p>
        </w:tc>
      </w:tr>
      <w:tr>
        <w:tc>
          <w:tcPr>
            <w:tcW w:type="dxa" w:w="2340"/>
          </w:tcPr>
          <w:p>
            <w:r>
              <w:rPr>
                <w:rFonts w:ascii="Arial" w:hAnsi="Arial"/>
                <w:sz w:val="18"/>
              </w:rPr>
              <w:t>James Gibson</w:t>
            </w:r>
          </w:p>
        </w:tc>
        <w:tc>
          <w:tcPr>
            <w:tcW w:type="dxa" w:w="2340"/>
          </w:tcPr>
          <w:p>
            <w:r>
              <w:rPr>
                <w:rFonts w:ascii="Arial" w:hAnsi="Arial"/>
                <w:sz w:val="18"/>
              </w:rPr>
              <w:t>Marie-Louise McReady</w:t>
            </w:r>
          </w:p>
        </w:tc>
        <w:tc>
          <w:tcPr>
            <w:tcW w:type="dxa" w:w="2340"/>
          </w:tcPr>
          <w:p>
            <w:r>
              <w:rPr>
                <w:rFonts w:ascii="Arial" w:hAnsi="Arial"/>
                <w:sz w:val="18"/>
              </w:rPr>
              <w:t>22 nov. 1842, St-Jean-Chrysostome</w:t>
            </w:r>
          </w:p>
        </w:tc>
        <w:tc>
          <w:tcPr>
            <w:tcW w:type="dxa" w:w="2340"/>
          </w:tcPr>
          <w:p>
            <w:r>
              <w:rPr>
                <w:rFonts w:ascii="Arial" w:hAnsi="Arial"/>
                <w:sz w:val="18"/>
              </w:rPr>
              <w:t>11 enfants</w:t>
            </w:r>
          </w:p>
        </w:tc>
      </w:tr>
      <w:tr>
        <w:tc>
          <w:tcPr>
            <w:tcW w:type="dxa" w:w="2340"/>
          </w:tcPr>
          <w:p>
            <w:r>
              <w:rPr>
                <w:rFonts w:ascii="Arial" w:hAnsi="Arial"/>
                <w:sz w:val="18"/>
              </w:rPr>
              <w:t>Éléonore Pelletier</w:t>
            </w:r>
          </w:p>
        </w:tc>
        <w:tc>
          <w:tcPr>
            <w:tcW w:type="dxa" w:w="2340"/>
          </w:tcPr>
          <w:p>
            <w:r>
              <w:rPr>
                <w:rFonts w:ascii="Arial" w:hAnsi="Arial"/>
                <w:sz w:val="18"/>
              </w:rPr>
              <w:t>Étienne Nolin, puis Victor Girouard</w:t>
            </w:r>
          </w:p>
        </w:tc>
        <w:tc>
          <w:tcPr>
            <w:tcW w:type="dxa" w:w="2340"/>
          </w:tcPr>
          <w:p>
            <w:r>
              <w:rPr>
                <w:rFonts w:ascii="Arial" w:hAnsi="Arial"/>
                <w:sz w:val="18"/>
              </w:rPr>
              <w:t>13 sept. 1842 / 22 fév. 1881</w:t>
            </w:r>
          </w:p>
        </w:tc>
        <w:tc>
          <w:tcPr>
            <w:tcW w:type="dxa" w:w="2340"/>
          </w:tcPr>
          <w:p>
            <w:r>
              <w:rPr>
                <w:rFonts w:ascii="Arial" w:hAnsi="Arial"/>
                <w:sz w:val="18"/>
              </w:rPr>
              <w:t>13 enfants</w:t>
            </w:r>
          </w:p>
        </w:tc>
      </w:tr>
      <w:tr>
        <w:tc>
          <w:tcPr>
            <w:tcW w:type="dxa" w:w="2340"/>
          </w:tcPr>
          <w:p>
            <w:r>
              <w:rPr>
                <w:rFonts w:ascii="Arial" w:hAnsi="Arial"/>
                <w:sz w:val="18"/>
              </w:rPr>
              <w:t>Édouard Pelletier</w:t>
            </w:r>
          </w:p>
        </w:tc>
        <w:tc>
          <w:tcPr>
            <w:tcW w:type="dxa" w:w="2340"/>
          </w:tcPr>
          <w:p>
            <w:r>
              <w:rPr>
                <w:rFonts w:ascii="Arial" w:hAnsi="Arial"/>
                <w:sz w:val="18"/>
              </w:rPr>
              <w:t>Céleste Roberge</w:t>
            </w:r>
          </w:p>
        </w:tc>
        <w:tc>
          <w:tcPr>
            <w:tcW w:type="dxa" w:w="2340"/>
          </w:tcPr>
          <w:p>
            <w:r>
              <w:rPr>
                <w:rFonts w:ascii="Arial" w:hAnsi="Arial"/>
                <w:sz w:val="18"/>
              </w:rPr>
              <w:t>18 sept. 1848, St-Jean-Chrysostome</w:t>
            </w:r>
          </w:p>
        </w:tc>
        <w:tc>
          <w:tcPr>
            <w:tcW w:type="dxa" w:w="2340"/>
          </w:tcPr>
          <w:p>
            <w:r>
              <w:rPr>
                <w:rFonts w:ascii="Arial" w:hAnsi="Arial"/>
                <w:sz w:val="18"/>
              </w:rPr>
              <w:t>11 enfants</w:t>
            </w:r>
          </w:p>
        </w:tc>
      </w:tr>
      <w:tr>
        <w:tc>
          <w:tcPr>
            <w:tcW w:type="dxa" w:w="2340"/>
          </w:tcPr>
          <w:p>
            <w:r>
              <w:rPr>
                <w:rFonts w:ascii="Arial" w:hAnsi="Arial"/>
                <w:sz w:val="18"/>
              </w:rPr>
              <w:t>Caroline Pelletier</w:t>
            </w:r>
          </w:p>
        </w:tc>
        <w:tc>
          <w:tcPr>
            <w:tcW w:type="dxa" w:w="2340"/>
          </w:tcPr>
          <w:p>
            <w:r>
              <w:rPr>
                <w:rFonts w:ascii="Arial" w:hAnsi="Arial"/>
                <w:sz w:val="18"/>
              </w:rPr>
              <w:t>Joseph Forcade, puis Norbert Gosselin (fils)</w:t>
            </w:r>
          </w:p>
        </w:tc>
        <w:tc>
          <w:tcPr>
            <w:tcW w:type="dxa" w:w="2340"/>
          </w:tcPr>
          <w:p>
            <w:r>
              <w:rPr>
                <w:rFonts w:ascii="Arial" w:hAnsi="Arial"/>
                <w:sz w:val="18"/>
              </w:rPr>
              <w:t>18 sept. 1848 / 9 janv. 1872</w:t>
            </w:r>
          </w:p>
        </w:tc>
        <w:tc>
          <w:tcPr>
            <w:tcW w:type="dxa" w:w="2340"/>
          </w:tcPr>
          <w:p>
            <w:r>
              <w:rPr>
                <w:rFonts w:ascii="Arial" w:hAnsi="Arial"/>
                <w:sz w:val="18"/>
              </w:rPr>
              <w:t>6 enfants</w:t>
            </w:r>
          </w:p>
        </w:tc>
      </w:tr>
      <w:tr>
        <w:tc>
          <w:tcPr>
            <w:tcW w:type="dxa" w:w="2340"/>
          </w:tcPr>
          <w:p>
            <w:r>
              <w:rPr>
                <w:rFonts w:ascii="Arial" w:hAnsi="Arial"/>
                <w:sz w:val="18"/>
              </w:rPr>
              <w:t>Eusèbe Pelletier</w:t>
            </w:r>
          </w:p>
        </w:tc>
        <w:tc>
          <w:tcPr>
            <w:tcW w:type="dxa" w:w="2340"/>
          </w:tcPr>
          <w:p>
            <w:r>
              <w:rPr>
                <w:rFonts w:ascii="Arial" w:hAnsi="Arial"/>
                <w:sz w:val="18"/>
              </w:rPr>
              <w:t>Marie-Émilie McReady, puis Léda Couillard, puis Eusébie Houle</w:t>
            </w:r>
          </w:p>
        </w:tc>
        <w:tc>
          <w:tcPr>
            <w:tcW w:type="dxa" w:w="2340"/>
          </w:tcPr>
          <w:p>
            <w:r>
              <w:rPr>
                <w:rFonts w:ascii="Arial" w:hAnsi="Arial"/>
                <w:sz w:val="18"/>
              </w:rPr>
              <w:t>20 fév. 1860, Saint-Romuald</w:t>
            </w:r>
          </w:p>
        </w:tc>
        <w:tc>
          <w:tcPr>
            <w:tcW w:type="dxa" w:w="2340"/>
          </w:tcPr>
          <w:p>
            <w:r>
              <w:rPr>
                <w:rFonts w:ascii="Arial" w:hAnsi="Arial"/>
                <w:sz w:val="18"/>
              </w:rPr>
              <w:t>5 enfants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