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B365D"/>
          <w:sz w:val="44"/>
        </w:rPr>
        <w:t>Dictionnaire biographique &amp; Synthèse historique</w:t>
        <w:br/>
        <w:t>de New Liverpool (Pages 15 à 60)</w:t>
      </w:r>
    </w:p>
    <w:p>
      <w:pPr>
        <w:jc w:val="center"/>
      </w:pPr>
      <w:r>
        <w:rPr>
          <w:rFonts w:ascii="Arial" w:hAnsi="Arial"/>
          <w:i/>
          <w:color w:val="555555"/>
          <w:sz w:val="24"/>
        </w:rPr>
        <w:t>Dépouillement de l'ouvrage de Julie Doyon (Éditions Septentrion)</w:t>
      </w:r>
    </w:p>
    <w:p/>
    <w:p>
      <w:pPr>
        <w:pStyle w:val="Heading1"/>
      </w:pPr>
      <w:r>
        <w:rPr>
          <w:rFonts w:ascii="Georgia" w:hAnsi="Georgia"/>
          <w:color w:val="1B365D"/>
        </w:rPr>
        <w:t>1. Synthèse générale d'introduction : L'évolution du territoire</w:t>
      </w:r>
    </w:p>
    <w:p>
      <w:pPr>
        <w:spacing w:line="276" w:lineRule="auto"/>
      </w:pPr>
      <w:r>
        <w:rPr>
          <w:rFonts w:ascii="Arial" w:hAnsi="Arial"/>
          <w:sz w:val="21"/>
        </w:rPr>
        <w:t>L'étude des pages 15 à 60 retrace la transformation séculaire d'un espace littoral névralgique situé sur la rive sud du fleuve Saint-Laurent, à la jonction des rivières Chaudière et Etchemin. Autrefois halte saisonnière pour les Premières Nations, le secteur devient un foyer majeur du commerce du bois d'œuvre, de la construction navale et du transport fluvial au Bas-Canada sous l'impulsion de grandes dynasties marchandes.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rFonts w:ascii="Arial" w:hAnsi="Arial"/>
                <w:b/>
                <w:color w:val="FFFFFF"/>
              </w:rPr>
              <w:t>Période / Thème</w:t>
            </w:r>
          </w:p>
        </w:tc>
        <w:tc>
          <w:tcPr>
            <w:tcW w:type="dxa" w:w="3120"/>
            <w:shd w:fill="1B365D"/>
          </w:tcPr>
          <w:p>
            <w:r>
              <w:rPr>
                <w:rFonts w:ascii="Arial" w:hAnsi="Arial"/>
                <w:b/>
                <w:color w:val="FFFFFF"/>
              </w:rPr>
              <w:t>Développements clés</w:t>
            </w:r>
          </w:p>
        </w:tc>
        <w:tc>
          <w:tcPr>
            <w:tcW w:type="dxa" w:w="3120"/>
            <w:shd w:fill="1B365D"/>
          </w:tcPr>
          <w:p>
            <w:r>
              <w:rPr>
                <w:rFonts w:ascii="Arial" w:hAnsi="Arial"/>
                <w:b/>
                <w:color w:val="FFFFFF"/>
              </w:rPr>
              <w:t>Acteurs principaux</w:t>
            </w:r>
          </w:p>
        </w:tc>
      </w:tr>
      <w:tr>
        <w:tc>
          <w:tcPr>
            <w:tcW w:type="dxa" w:w="3120"/>
          </w:tcPr>
          <w:p>
            <w:r>
              <w:rPr>
                <w:rFonts w:ascii="Arial" w:hAnsi="Arial"/>
                <w:sz w:val="19"/>
              </w:rPr>
              <w:t>Préhistoire &amp; Régime français</w:t>
            </w:r>
          </w:p>
        </w:tc>
        <w:tc>
          <w:tcPr>
            <w:tcW w:type="dxa" w:w="3120"/>
          </w:tcPr>
          <w:p>
            <w:r>
              <w:rPr>
                <w:rFonts w:ascii="Arial" w:hAnsi="Arial"/>
                <w:sz w:val="19"/>
              </w:rPr>
              <w:t>Sites paléoindiens (Longwood), cabane d'Eustache Lambert (1651), moulin Strouds.</w:t>
            </w:r>
          </w:p>
        </w:tc>
        <w:tc>
          <w:tcPr>
            <w:tcW w:type="dxa" w:w="3120"/>
          </w:tcPr>
          <w:p>
            <w:r>
              <w:rPr>
                <w:rFonts w:ascii="Arial" w:hAnsi="Arial"/>
                <w:sz w:val="19"/>
              </w:rPr>
              <w:t>E. Lambert, F. Bissot, G. Couture, G.W. Strouds</w:t>
            </w:r>
          </w:p>
        </w:tc>
      </w:tr>
      <w:tr>
        <w:tc>
          <w:tcPr>
            <w:tcW w:type="dxa" w:w="3120"/>
          </w:tcPr>
          <w:p>
            <w:r>
              <w:rPr>
                <w:rFonts w:ascii="Arial" w:hAnsi="Arial"/>
                <w:sz w:val="19"/>
              </w:rPr>
              <w:t>Conquête &amp; Régime anglais</w:t>
            </w:r>
          </w:p>
        </w:tc>
        <w:tc>
          <w:tcPr>
            <w:tcW w:type="dxa" w:w="3120"/>
          </w:tcPr>
          <w:p>
            <w:r>
              <w:rPr>
                <w:rFonts w:ascii="Arial" w:hAnsi="Arial"/>
                <w:sz w:val="19"/>
              </w:rPr>
              <w:t>Incendies de 1759-1760, vente de Lauzon à Murray (1765), essor sous H. Caldwell.</w:t>
            </w:r>
          </w:p>
        </w:tc>
        <w:tc>
          <w:tcPr>
            <w:tcW w:type="dxa" w:w="3120"/>
          </w:tcPr>
          <w:p>
            <w:r>
              <w:rPr>
                <w:rFonts w:ascii="Arial" w:hAnsi="Arial"/>
                <w:sz w:val="19"/>
              </w:rPr>
              <w:t>J. Wolfe, É. Charest III, J. Murray, H. Caldwell</w:t>
            </w:r>
          </w:p>
        </w:tc>
      </w:tr>
      <w:tr>
        <w:tc>
          <w:tcPr>
            <w:tcW w:type="dxa" w:w="3120"/>
          </w:tcPr>
          <w:p>
            <w:r>
              <w:rPr>
                <w:rFonts w:ascii="Arial" w:hAnsi="Arial"/>
                <w:sz w:val="19"/>
              </w:rPr>
              <w:t>Âge d'or du Bois (1806-1840)</w:t>
            </w:r>
          </w:p>
        </w:tc>
        <w:tc>
          <w:tcPr>
            <w:tcW w:type="dxa" w:w="3120"/>
          </w:tcPr>
          <w:p>
            <w:r>
              <w:rPr>
                <w:rFonts w:ascii="Arial" w:hAnsi="Arial"/>
                <w:sz w:val="19"/>
              </w:rPr>
              <w:t>Blocus napoléonien, chantiers navals Hamilton, moulins Ritchie, empire Price.</w:t>
            </w:r>
          </w:p>
        </w:tc>
        <w:tc>
          <w:tcPr>
            <w:tcW w:type="dxa" w:w="3120"/>
          </w:tcPr>
          <w:p>
            <w:r>
              <w:rPr>
                <w:rFonts w:ascii="Arial" w:hAnsi="Arial"/>
                <w:sz w:val="19"/>
              </w:rPr>
              <w:t>J. Caldwell, Frères Hamilton, Frères Ritchie, W. Price</w:t>
            </w:r>
          </w:p>
        </w:tc>
      </w:tr>
      <w:tr>
        <w:tc>
          <w:tcPr>
            <w:tcW w:type="dxa" w:w="3120"/>
          </w:tcPr>
          <w:p>
            <w:r>
              <w:rPr>
                <w:rFonts w:ascii="Arial" w:hAnsi="Arial"/>
                <w:sz w:val="19"/>
              </w:rPr>
              <w:t>Monopoles &amp; Société (1840-1856)</w:t>
            </w:r>
          </w:p>
        </w:tc>
        <w:tc>
          <w:tcPr>
            <w:tcW w:type="dxa" w:w="3120"/>
          </w:tcPr>
          <w:p>
            <w:r>
              <w:rPr>
                <w:rFonts w:ascii="Arial" w:hAnsi="Arial"/>
                <w:sz w:val="19"/>
              </w:rPr>
              <w:t>Traversées à manège, régime des jetons, érection de la paroisse St-Romuald (1856).</w:t>
            </w:r>
          </w:p>
        </w:tc>
        <w:tc>
          <w:tcPr>
            <w:tcW w:type="dxa" w:w="3120"/>
          </w:tcPr>
          <w:p>
            <w:r>
              <w:rPr>
                <w:rFonts w:ascii="Arial" w:hAnsi="Arial"/>
                <w:sz w:val="19"/>
              </w:rPr>
              <w:t>P. McLeod, P. Honorat, C. Poiré, Abbé P.-T. Sax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