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YouCam Muse Content Report Mechanism</w:t>
      </w:r>
    </w:p>
    <w:p>
      <w:r>
        <w:t>Web product requirements v1.2 | 29 October 2026</w:t>
      </w:r>
    </w:p>
    <w:p>
      <w:r>
        <w:t>Revised from Darren Liu’s Content Report PRD v1.1. This revision incorporates the product owner’s confirmed Web decisions of 28–29 October 2026 and supersedes conflicting v1.1 behavior. It defines reporting, two anti-abuse controls, reviewer removal and creator access.</w:t>
      </w:r>
    </w:p>
    <w:p>
      <w:pPr>
        <w:pStyle w:val="Heading1"/>
      </w:pPr>
      <w:r>
        <w:t>1 Scope and entry points</w:t>
      </w:r>
    </w:p>
    <w:p>
      <w:r>
        <w:t>Visitors and signed-in users can report publicly accessible songs and music videos without signing in. Keep the existing MV Player, Song Player, community Song Result and public Share page report entries. Official content can be reported. When the signed-in account owns the content, hide Report and reject any attempted submission. Visitors can report public content; ownership is evaluated against the account after sign-in.</w:t>
      </w:r>
    </w:p>
    <w:p>
      <w:r>
        <w:t>Reporting is anonymous to the reported creator: do not disclose the reporter’s identity to them. Backend identification and logging are implementation responsibilities and do not imply that no identity information is recorded.</w:t>
      </w:r>
    </w:p>
    <w:p>
      <w:pPr>
        <w:pStyle w:val="Heading1"/>
      </w:pPr>
      <w:r>
        <w:t>2 Report reasons</w:t>
      </w:r>
    </w:p>
    <w:p>
      <w:r>
        <w:t>Show Report Music Video or Report Song. Use a centered dialog on desktop and a bottom sheet on phones. Keep the following six built-in reasons in this order, plus Something else as a separate navigation row.</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8EDF3"/>
          </w:tcPr>
          <w:p>
            <w:pPr>
              <w:spacing w:after="100" w:before="100"/>
            </w:pPr>
            <w:r>
              <w:rPr>
                <w:b/>
              </w:rPr>
              <w:t>Reason</w:t>
            </w:r>
          </w:p>
        </w:tc>
        <w:tc>
          <w:tcPr>
            <w:tcW w:type="dxa" w:w="4968"/>
            <w:tcBorders>
              <w:top w:val="single" w:sz="4" w:color="D9D9D9"/>
              <w:left w:val="single" w:sz="4" w:color="D9D9D9"/>
              <w:bottom w:val="single" w:sz="4" w:color="D9D9D9"/>
              <w:right w:val="single" w:sz="4" w:color="D9D9D9"/>
            </w:tcBorders>
            <w:shd w:fill="E8EDF3"/>
          </w:tcPr>
          <w:p>
            <w:pPr>
              <w:spacing w:after="100" w:before="100"/>
            </w:pPr>
            <w:r>
              <w:rPr>
                <w:b/>
              </w:rPr>
              <w:t>Covers</w:t>
            </w:r>
          </w:p>
        </w:tc>
      </w:tr>
      <w:tr>
        <w:tc>
          <w:tcPr>
            <w:tcW w:type="dxa" w:w="4968"/>
            <w:tcBorders>
              <w:top w:val="single" w:sz="4" w:color="D9D9D9"/>
              <w:left w:val="single" w:sz="4" w:color="D9D9D9"/>
              <w:bottom w:val="single" w:sz="4" w:color="D9D9D9"/>
              <w:right w:val="single" w:sz="4" w:color="D9D9D9"/>
            </w:tcBorders>
          </w:tcPr>
          <w:p>
            <w:pPr>
              <w:spacing w:after="100" w:before="100"/>
            </w:pPr>
            <w:r>
              <w:t>Sexual or adult content</w:t>
            </w:r>
          </w:p>
        </w:tc>
        <w:tc>
          <w:tcPr>
            <w:tcW w:type="dxa" w:w="4968"/>
            <w:tcBorders>
              <w:top w:val="single" w:sz="4" w:color="D9D9D9"/>
              <w:left w:val="single" w:sz="4" w:color="D9D9D9"/>
              <w:bottom w:val="single" w:sz="4" w:color="D9D9D9"/>
              <w:right w:val="single" w:sz="4" w:color="D9D9D9"/>
            </w:tcBorders>
          </w:tcPr>
          <w:p>
            <w:pPr>
              <w:spacing w:after="100" w:before="100"/>
            </w:pPr>
            <w:r>
              <w:t>Nudity, explicit material and sexual acts involving minors</w:t>
            </w:r>
          </w:p>
        </w:tc>
      </w:tr>
      <w:tr>
        <w:tc>
          <w:tcPr>
            <w:tcW w:type="dxa" w:w="4968"/>
            <w:tcBorders>
              <w:top w:val="single" w:sz="4" w:color="D9D9D9"/>
              <w:left w:val="single" w:sz="4" w:color="D9D9D9"/>
              <w:bottom w:val="single" w:sz="4" w:color="D9D9D9"/>
              <w:right w:val="single" w:sz="4" w:color="D9D9D9"/>
            </w:tcBorders>
          </w:tcPr>
          <w:p>
            <w:pPr>
              <w:spacing w:after="100" w:before="100"/>
            </w:pPr>
            <w:r>
              <w:t>Harassment or hate speech</w:t>
            </w:r>
          </w:p>
        </w:tc>
        <w:tc>
          <w:tcPr>
            <w:tcW w:type="dxa" w:w="4968"/>
            <w:tcBorders>
              <w:top w:val="single" w:sz="4" w:color="D9D9D9"/>
              <w:left w:val="single" w:sz="4" w:color="D9D9D9"/>
              <w:bottom w:val="single" w:sz="4" w:color="D9D9D9"/>
              <w:right w:val="single" w:sz="4" w:color="D9D9D9"/>
            </w:tcBorders>
          </w:tcPr>
          <w:p>
            <w:pPr>
              <w:spacing w:after="100" w:before="100"/>
            </w:pPr>
            <w:r>
              <w:t>Targeted abuse, hate speech and personal attacks</w:t>
            </w:r>
          </w:p>
        </w:tc>
      </w:tr>
      <w:tr>
        <w:tc>
          <w:tcPr>
            <w:tcW w:type="dxa" w:w="4968"/>
            <w:tcBorders>
              <w:top w:val="single" w:sz="4" w:color="D9D9D9"/>
              <w:left w:val="single" w:sz="4" w:color="D9D9D9"/>
              <w:bottom w:val="single" w:sz="4" w:color="D9D9D9"/>
              <w:right w:val="single" w:sz="4" w:color="D9D9D9"/>
            </w:tcBorders>
          </w:tcPr>
          <w:p>
            <w:pPr>
              <w:spacing w:after="100" w:before="100"/>
            </w:pPr>
            <w:r>
              <w:t>Spam or commercial advertising</w:t>
            </w:r>
          </w:p>
        </w:tc>
        <w:tc>
          <w:tcPr>
            <w:tcW w:type="dxa" w:w="4968"/>
            <w:tcBorders>
              <w:top w:val="single" w:sz="4" w:color="D9D9D9"/>
              <w:left w:val="single" w:sz="4" w:color="D9D9D9"/>
              <w:bottom w:val="single" w:sz="4" w:color="D9D9D9"/>
              <w:right w:val="single" w:sz="4" w:color="D9D9D9"/>
            </w:tcBorders>
          </w:tcPr>
          <w:p>
            <w:pPr>
              <w:spacing w:after="100" w:before="100"/>
            </w:pPr>
            <w:r>
              <w:t>Repetitive spam, fake engagement, deceptive titles or thumbnails</w:t>
            </w:r>
          </w:p>
        </w:tc>
      </w:tr>
      <w:tr>
        <w:tc>
          <w:tcPr>
            <w:tcW w:type="dxa" w:w="4968"/>
            <w:tcBorders>
              <w:top w:val="single" w:sz="4" w:color="D9D9D9"/>
              <w:left w:val="single" w:sz="4" w:color="D9D9D9"/>
              <w:bottom w:val="single" w:sz="4" w:color="D9D9D9"/>
              <w:right w:val="single" w:sz="4" w:color="D9D9D9"/>
            </w:tcBorders>
          </w:tcPr>
          <w:p>
            <w:pPr>
              <w:spacing w:after="100" w:before="100"/>
            </w:pPr>
            <w:r>
              <w:t>Violent or disturbing content</w:t>
            </w:r>
          </w:p>
        </w:tc>
        <w:tc>
          <w:tcPr>
            <w:tcW w:type="dxa" w:w="4968"/>
            <w:tcBorders>
              <w:top w:val="single" w:sz="4" w:color="D9D9D9"/>
              <w:left w:val="single" w:sz="4" w:color="D9D9D9"/>
              <w:bottom w:val="single" w:sz="4" w:color="D9D9D9"/>
              <w:right w:val="single" w:sz="4" w:color="D9D9D9"/>
            </w:tcBorders>
          </w:tcPr>
          <w:p>
            <w:pPr>
              <w:spacing w:after="100" w:before="100"/>
            </w:pPr>
            <w:r>
              <w:t>Graphic violence, gore, depictions of or threats of harm</w:t>
            </w:r>
          </w:p>
        </w:tc>
      </w:tr>
      <w:tr>
        <w:tc>
          <w:tcPr>
            <w:tcW w:type="dxa" w:w="4968"/>
            <w:tcBorders>
              <w:top w:val="single" w:sz="4" w:color="D9D9D9"/>
              <w:left w:val="single" w:sz="4" w:color="D9D9D9"/>
              <w:bottom w:val="single" w:sz="4" w:color="D9D9D9"/>
              <w:right w:val="single" w:sz="4" w:color="D9D9D9"/>
            </w:tcBorders>
          </w:tcPr>
          <w:p>
            <w:pPr>
              <w:spacing w:after="100" w:before="100"/>
            </w:pPr>
            <w:r>
              <w:t>Misinformation or misleading</w:t>
            </w:r>
          </w:p>
        </w:tc>
        <w:tc>
          <w:tcPr>
            <w:tcW w:type="dxa" w:w="4968"/>
            <w:tcBorders>
              <w:top w:val="single" w:sz="4" w:color="D9D9D9"/>
              <w:left w:val="single" w:sz="4" w:color="D9D9D9"/>
              <w:bottom w:val="single" w:sz="4" w:color="D9D9D9"/>
              <w:right w:val="single" w:sz="4" w:color="D9D9D9"/>
            </w:tcBorders>
          </w:tcPr>
          <w:p>
            <w:pPr>
              <w:spacing w:after="100" w:before="100"/>
            </w:pPr>
            <w:r>
              <w:t>False health claims, fabricated news and disinformation</w:t>
            </w:r>
          </w:p>
        </w:tc>
      </w:tr>
      <w:tr>
        <w:tc>
          <w:tcPr>
            <w:tcW w:type="dxa" w:w="4968"/>
            <w:tcBorders>
              <w:top w:val="single" w:sz="4" w:color="D9D9D9"/>
              <w:left w:val="single" w:sz="4" w:color="D9D9D9"/>
              <w:bottom w:val="single" w:sz="4" w:color="D9D9D9"/>
              <w:right w:val="single" w:sz="4" w:color="D9D9D9"/>
            </w:tcBorders>
          </w:tcPr>
          <w:p>
            <w:pPr>
              <w:spacing w:after="100" w:before="100"/>
            </w:pPr>
            <w:r>
              <w:t>Copyright or unauthorized use</w:t>
            </w:r>
          </w:p>
        </w:tc>
        <w:tc>
          <w:tcPr>
            <w:tcW w:type="dxa" w:w="4968"/>
            <w:tcBorders>
              <w:top w:val="single" w:sz="4" w:color="D9D9D9"/>
              <w:left w:val="single" w:sz="4" w:color="D9D9D9"/>
              <w:bottom w:val="single" w:sz="4" w:color="D9D9D9"/>
              <w:right w:val="single" w:sz="4" w:color="D9D9D9"/>
            </w:tcBorders>
          </w:tcPr>
          <w:p>
            <w:pPr>
              <w:spacing w:after="100" w:before="100"/>
            </w:pPr>
            <w:r>
              <w:t>Unauthorized music, video footage or artwork</w:t>
            </w:r>
          </w:p>
        </w:tc>
      </w:tr>
    </w:tbl>
    <w:p>
      <w:r>
        <w:br w:type="page"/>
      </w:r>
    </w:p>
    <w:p>
      <w:pPr>
        <w:pStyle w:val="Heading1"/>
      </w:pPr>
      <w:r>
        <w:t>3 Selection and submission</w:t>
      </w:r>
    </w:p>
    <w:p>
      <w:r>
        <w:t>Select one built-in reason. Submit Report is always visible and disabled until the selection is valid. Something else opens a Details page with a Back control, a clear action and a 1000-character limit. Text containing only whitespace cannot be submitted. Returning to the list and re-entering Details retains the text. Closing the report dialog resets the draft.</w:t>
      </w:r>
    </w:p>
    <w:p>
      <w:r>
        <w:t>While submitting, disable Submit Report and show Submitting… to prevent repeated clicks. Recheck ownership, duplicate status and the session cap before recording success. Record and count only successful submissions.</w:t>
      </w:r>
    </w:p>
    <w:p>
      <w:pPr>
        <w:pStyle w:val="Heading1"/>
      </w:pPr>
      <w:r>
        <w:t>4 Success and failure</w:t>
      </w:r>
    </w:p>
    <w:p>
      <w:r>
        <w:t>Success headline: “Thank you for keeping Muse safe”</w:t>
      </w:r>
    </w:p>
    <w:p>
      <w:r>
        <w:t>Success message: “We’ll review this content. If it violates our community guidelines, we’ll take action — usually within 24 hours.”</w:t>
      </w:r>
    </w:p>
    <w:p>
      <w:r>
        <w:t>Keep Done for manual dismissal. Do not auto-dismiss success after three seconds. Preserve existing Close, Escape and backdrop dismissal. Reporting does not immediately remove, hide or block playback of the content. The 24-hour message does not establish a simulated moderation schedule.</w:t>
      </w:r>
    </w:p>
    <w:p>
      <w:r>
        <w:t>Failure message: “Couldn’t submit your report. Please try again.” Keep the selected reason and Details, allow Submit Report to retry, and do not count the attempt or mark the content as reported. Never show success for a failed submission.</w:t>
      </w:r>
    </w:p>
    <w:p>
      <w:pPr>
        <w:pStyle w:val="Heading1"/>
      </w:pPr>
      <w:r>
        <w:t>5 Two anti abuse controls</w:t>
      </w:r>
    </w:p>
    <w:p>
      <w:r>
        <w:t>There are exactly two controls. This corrects “three independent safeguards” in v1.1; no third safeguard is implied.</w:t>
      </w:r>
    </w:p>
    <w:tbl>
      <w:tblPr>
        <w:tblW w:type="auto" w:w="0"/>
        <w:tblLayout w:type="fixed"/>
        <w:tblLook w:firstColumn="1" w:firstRow="1" w:lastColumn="0" w:lastRow="0" w:noHBand="0" w:noVBand="1" w:val="04A0"/>
      </w:tblPr>
      <w:tblGrid>
        <w:gridCol w:w="4968"/>
        <w:gridCol w:w="4968"/>
      </w:tblGrid>
      <w:tr>
        <w:tc>
          <w:tcPr>
            <w:tcW w:type="dxa" w:w="4968"/>
            <w:tcBorders>
              <w:top w:val="single" w:sz="4" w:color="D9D9D9"/>
              <w:left w:val="single" w:sz="4" w:color="D9D9D9"/>
              <w:bottom w:val="single" w:sz="4" w:color="D9D9D9"/>
              <w:right w:val="single" w:sz="4" w:color="D9D9D9"/>
            </w:tcBorders>
            <w:shd w:fill="E8EDF3"/>
          </w:tcPr>
          <w:p>
            <w:pPr>
              <w:spacing w:after="100" w:before="100"/>
            </w:pPr>
            <w:r>
              <w:rPr>
                <w:b/>
              </w:rPr>
              <w:t>Control</w:t>
            </w:r>
          </w:p>
        </w:tc>
        <w:tc>
          <w:tcPr>
            <w:tcW w:type="dxa" w:w="4968"/>
            <w:tcBorders>
              <w:top w:val="single" w:sz="4" w:color="D9D9D9"/>
              <w:left w:val="single" w:sz="4" w:color="D9D9D9"/>
              <w:bottom w:val="single" w:sz="4" w:color="D9D9D9"/>
              <w:right w:val="single" w:sz="4" w:color="D9D9D9"/>
            </w:tcBorders>
            <w:shd w:fill="E8EDF3"/>
          </w:tcPr>
          <w:p>
            <w:pPr>
              <w:spacing w:after="100" w:before="100"/>
            </w:pPr>
            <w:r>
              <w:rPr>
                <w:b/>
              </w:rPr>
              <w:t>Trigger and feedback</w:t>
            </w:r>
          </w:p>
        </w:tc>
      </w:tr>
      <w:tr>
        <w:tc>
          <w:tcPr>
            <w:tcW w:type="dxa" w:w="4968"/>
            <w:tcBorders>
              <w:top w:val="single" w:sz="4" w:color="D9D9D9"/>
              <w:left w:val="single" w:sz="4" w:color="D9D9D9"/>
              <w:bottom w:val="single" w:sz="4" w:color="D9D9D9"/>
              <w:right w:val="single" w:sz="4" w:color="D9D9D9"/>
            </w:tcBorders>
          </w:tcPr>
          <w:p>
            <w:pPr>
              <w:spacing w:after="100" w:before="100"/>
            </w:pPr>
            <w:r>
              <w:t>Duplicate guard</w:t>
            </w:r>
          </w:p>
        </w:tc>
        <w:tc>
          <w:tcPr>
            <w:tcW w:type="dxa" w:w="4968"/>
            <w:tcBorders>
              <w:top w:val="single" w:sz="4" w:color="D9D9D9"/>
              <w:left w:val="single" w:sz="4" w:color="D9D9D9"/>
              <w:bottom w:val="single" w:sz="4" w:color="D9D9D9"/>
              <w:right w:val="single" w:sz="4" w:color="D9D9D9"/>
            </w:tcBorders>
          </w:tcPr>
          <w:p>
            <w:pPr>
              <w:spacing w:after="100" w:before="100"/>
            </w:pPr>
            <w:r>
              <w:t>The same content key was successfully reported this session. Do not open the dialog. Show “You already reported this content.” with a neutral border.</w:t>
            </w:r>
          </w:p>
        </w:tc>
      </w:tr>
      <w:tr>
        <w:tc>
          <w:tcPr>
            <w:tcW w:type="dxa" w:w="4968"/>
            <w:tcBorders>
              <w:top w:val="single" w:sz="4" w:color="D9D9D9"/>
              <w:left w:val="single" w:sz="4" w:color="D9D9D9"/>
              <w:bottom w:val="single" w:sz="4" w:color="D9D9D9"/>
              <w:right w:val="single" w:sz="4" w:color="D9D9D9"/>
            </w:tcBorders>
          </w:tcPr>
          <w:p>
            <w:pPr>
              <w:spacing w:after="100" w:before="100"/>
            </w:pPr>
            <w:r>
              <w:t>Session cap</w:t>
            </w:r>
          </w:p>
        </w:tc>
        <w:tc>
          <w:tcPr>
            <w:tcW w:type="dxa" w:w="4968"/>
            <w:tcBorders>
              <w:top w:val="single" w:sz="4" w:color="D9D9D9"/>
              <w:left w:val="single" w:sz="4" w:color="D9D9D9"/>
              <w:bottom w:val="single" w:sz="4" w:color="D9D9D9"/>
              <w:right w:val="single" w:sz="4" w:color="D9D9D9"/>
            </w:tcBorders>
          </w:tcPr>
          <w:p>
            <w:pPr>
              <w:spacing w:after="100" w:before="100"/>
            </w:pPr>
            <w:r>
              <w:t>Five successful reports across MV and Song combined. Allow the fifth; block a sixth different item. Do not open the dialog. Show “You have reached the report limit for this session.” with an amber border.</w:t>
            </w:r>
          </w:p>
        </w:tc>
      </w:tr>
    </w:tbl>
    <w:p>
      <w:r>
        <w:t>Duplicate feedback takes priority when both conditions apply. Cancelled and failed attempts do not count. Content keys include both kind and ID, so a song and an MV with the same ID are distinct.</w:t>
      </w:r>
    </w:p>
    <w:p>
      <w:r>
        <w:t>A session is the current document lifetime in one browser tab. Client-side navigation retains the count; refresh, a new document or a new tab resets it. Signing in or out does not reset it. Both toasts last 3 seconds, pause while hovered or focused, and restart the full 3 seconds after leaving. On phones, place them above the tab bar.</w:t>
      </w:r>
    </w:p>
    <w:p>
      <w:r>
        <w:br w:type="page"/>
      </w:r>
    </w:p>
    <w:p>
      <w:pPr>
        <w:pStyle w:val="Heading1"/>
      </w:pPr>
      <w:r>
        <w:t>6 Reviewer removal and creator access</w:t>
      </w:r>
    </w:p>
    <w:p>
      <w:r>
        <w:t>Only a reviewer removal decision removes public access. Remove the content from public feeds, Home, Explore and public creator profiles. Public Share links and player deep links become unavailable, including for a signed-in owner visiting those public routes. Do not mount playable media in an unavailable view.</w:t>
      </w:r>
    </w:p>
    <w:p>
      <w:r>
        <w:t>Only the signed-in creator retains private playback through History and their own Result screen. Keep the removal notice on Result. Signing out revokes that private access. Normal and permanent removal use the same public/private access rules in this version.</w:t>
      </w:r>
    </w:p>
    <w:p>
      <w:pPr>
        <w:pStyle w:val="Heading1"/>
      </w:pPr>
      <w:r>
        <w:t>7 History notice</w:t>
      </w:r>
    </w:p>
    <w:p>
      <w:r>
        <w:t>Removed content remains a normal History item with no badge, greyed thumbnail or status label. The creator can open it to play privately. In its more menu, put an amber warning notice above the standard action rows and hide the Publish toggle for all removed items.</w:t>
      </w:r>
    </w:p>
    <w:p>
      <w:r>
        <w:t>Notice title: “Removed from community”</w:t>
      </w:r>
    </w:p>
    <w:p>
      <w:r>
        <w:t>Notice subtitle: “A reviewer removed this content. Tap to see the reason.”</w:t>
      </w:r>
    </w:p>
    <w:p>
      <w:pPr>
        <w:pStyle w:val="Heading1"/>
      </w:pPr>
      <w:r>
        <w:t>8 Content Notice detail</w:t>
      </w:r>
    </w:p>
    <w:p>
      <w:r>
        <w:t>Retain the current design: a full-screen phone overlay and a desktop dialog. Keep Content Removed and Permanently Removed variants, the thumbnail, title, content type, publication date, removal information, reason chip and reason explanation. Keep the existing six category explanations. A single Got It action dismisses the notice; preserve the existing Back, Close and Escape behavior where present. Do not offer resubmission instructions or eligibility details.</w:t>
      </w:r>
    </w:p>
    <w:p>
      <w:r>
        <w:t>This approved design supersedes v1.1’s restriction to three content elements. The category chip corresponds to one of the six built-in reasons. Something else is a reporting input, not an additional removal category.</w:t>
      </w:r>
    </w:p>
    <w:p>
      <w:pPr>
        <w:pStyle w:val="Heading1"/>
      </w:pPr>
      <w:r>
        <w:t>9 Other boundaries</w:t>
      </w:r>
    </w:p>
    <w:p>
      <w:r>
        <w:t>Account reports, blocking, appeals, a moderation admin interface and the Profile Send Feedback Community Report issue type are outside this mechanism. Do not reuse an unconfirmed customer-support questionTypeId as a content-report reason ID.</w:t>
      </w:r>
    </w:p>
    <w:p>
      <w:r>
        <w:br w:type="page"/>
      </w:r>
    </w:p>
    <w:p>
      <w:pPr>
        <w:pStyle w:val="Heading1"/>
      </w:pPr>
      <w:r>
        <w:t>10 Prototype and QA behavior</w:t>
      </w:r>
    </w:p>
    <w:p>
      <w:r>
        <w:t>The prototype has no backend, database or network submission. Use the existing ?demo=1 QA panel to simulate submission failure and a reviewer decision. Select a content item, one of the six removal reasons and normal or permanent removal. The same item’s moderation state updates public lists, public links, History and Result consistently.</w:t>
      </w:r>
    </w:p>
    <w:p>
      <w:r>
        <w:t>QA failure and reviewer decisions live in memory in the current tab and reset on refresh. Do not mutate fixture catalogs or persist these new states. A normal successful report never triggers automatic removal. Reset report QA session clears report counts, simulated failures and reviewer decisions; fixed removed examples remain. Closing the QA panel clears simulated failures and reviewer decisions, but does not reset ordinary report counts.</w:t>
      </w:r>
    </w:p>
    <w:p>
      <w:pPr>
        <w:pStyle w:val="Heading1"/>
      </w:pPr>
      <w:r>
        <w:t>11 Acceptance checklist</w:t>
      </w:r>
    </w:p>
    <w:p>
      <w:pPr>
        <w:pStyle w:val="ListBullet"/>
      </w:pPr>
      <w:r>
        <w:t>Guest can report others and official content; signed-in owners have no Report entry and cannot submit.</w:t>
      </w:r>
    </w:p>
    <w:p>
      <w:pPr>
        <w:pStyle w:val="ListBullet"/>
      </w:pPr>
      <w:r>
        <w:t>Six built-in reasons plus Something else; disabled Submit until valid; Details limit, clear and draft retention work.</w:t>
      </w:r>
    </w:p>
    <w:p>
      <w:pPr>
        <w:pStyle w:val="ListBullet"/>
      </w:pPr>
      <w:r>
        <w:t>Success remains open after three seconds and closes with Done; successful reporting leaves content available.</w:t>
      </w:r>
    </w:p>
    <w:p>
      <w:pPr>
        <w:pStyle w:val="ListBullet"/>
      </w:pPr>
      <w:r>
        <w:t>Five mixed-kind successes are accepted; sixth different content is blocked; duplicate feedback wins.</w:t>
      </w:r>
    </w:p>
    <w:p>
      <w:pPr>
        <w:pStyle w:val="ListBullet"/>
      </w:pPr>
      <w:r>
        <w:t>Both toasts last three seconds and hold on hover or focus; refresh resets the session.</w:t>
      </w:r>
    </w:p>
    <w:p>
      <w:pPr>
        <w:pStyle w:val="ListBullet"/>
      </w:pPr>
      <w:r>
        <w:t>Failure retains inputs, does not count, and can be retried; repeated clicks cannot create duplicate successes.</w:t>
      </w:r>
    </w:p>
    <w:p>
      <w:pPr>
        <w:pStyle w:val="ListBullet"/>
      </w:pPr>
      <w:r>
        <w:t>Reviewer removal blocks public feeds, profile, Share and player links while the signed-in owner can play privately.</w:t>
      </w:r>
    </w:p>
    <w:p>
      <w:pPr>
        <w:pStyle w:val="ListBullet"/>
      </w:pPr>
      <w:r>
        <w:t>History remains visually normal; its menu shows Removed from community and no Publish; both detail variants work.</w:t>
      </w:r>
    </w:p>
    <w:p>
      <w:pPr>
        <w:pStyle w:val="ListBullet"/>
      </w:pPr>
      <w:r>
        <w:t>QA state updates across client navigation, resets on refresh and does not appear without the existing QA enablement.</w:t>
      </w:r>
    </w:p>
    <w:p>
      <w:pPr>
        <w:pStyle w:val="Heading1"/>
      </w:pPr>
      <w:r>
        <w:t>12 RD integration work</w:t>
      </w:r>
    </w:p>
    <w:p>
      <w:r>
        <w:t>RD must supply the endpoint, reason IDs, request/response fields, session and reporter identification, idempotency and retry protocol, reviewer status source, authorization and cross-device synchronization. These are integration details, not unresolved product behavior. Production must enforce permissions and abuse controls on the server; the local mock is not a security boundary.</w:t>
      </w:r>
    </w:p>
    <w:p>
      <w:r>
        <w:t>Companion Web acceptance criteria: Area 14 AC-RPT-01 through AC-RPT-15. Screenshot walkthrough: S11 Content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