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0DF9" w14:textId="77777777" w:rsidR="00BC1559" w:rsidRDefault="00BC1559" w:rsidP="00BC1559">
      <w:pPr>
        <w:pStyle w:val="Title"/>
        <w:shd w:val="clear" w:color="auto" w:fill="auto"/>
        <w:spacing w:before="720" w:after="120" w:line="598" w:lineRule="atLeast"/>
        <w:rPr>
          <w:rFonts w:ascii="Calibri" w:hAnsi="Calibri"/>
          <w:i w:val="0"/>
          <w:iCs w:val="0"/>
          <w:caps/>
          <w:color w:val="4472C4"/>
          <w:sz w:val="52"/>
          <w:szCs w:val="52"/>
        </w:rPr>
      </w:pPr>
      <w:r>
        <w:rPr>
          <w:rFonts w:ascii="Calibri" w:hAnsi="Calibri"/>
          <w:caps/>
          <w:color w:val="4472C4"/>
          <w:sz w:val="52"/>
          <w:szCs w:val="52"/>
        </w:rPr>
        <w:t>SSD ANALYSIS TOOL</w:t>
      </w:r>
    </w:p>
    <w:p w14:paraId="0B5C04CB" w14:textId="77777777" w:rsidR="00BC1559" w:rsidRPr="00BC1559" w:rsidRDefault="00BC1559" w:rsidP="00BC1559">
      <w:pPr>
        <w:pStyle w:val="Heading1"/>
        <w:shd w:val="clear" w:color="auto" w:fill="4472C4"/>
        <w:spacing w:before="0" w:after="0" w:line="253" w:lineRule="atLeast"/>
        <w:rPr>
          <w:rFonts w:ascii="Calibri" w:hAnsi="Calibri"/>
          <w:caps/>
          <w:color w:val="FFFFFF"/>
          <w:spacing w:val="15"/>
          <w:sz w:val="24"/>
          <w:szCs w:val="24"/>
        </w:rPr>
      </w:pPr>
      <w:r w:rsidRPr="00BC1559">
        <w:rPr>
          <w:rFonts w:ascii="Calibri" w:hAnsi="Calibri"/>
          <w:caps/>
          <w:color w:val="FFFFFF"/>
          <w:spacing w:val="15"/>
          <w:sz w:val="24"/>
          <w:szCs w:val="24"/>
        </w:rPr>
        <w:t>DATA</w:t>
      </w:r>
    </w:p>
    <w:p w14:paraId="6430929F" w14:textId="77777777" w:rsidR="00BC1559" w:rsidRPr="00BC1559" w:rsidRDefault="00BC1559" w:rsidP="00BC1559">
      <w:pPr>
        <w:spacing w:after="120" w:line="230" w:lineRule="atLeast"/>
        <w:rPr>
          <w:rFonts w:ascii="Calibri" w:hAnsi="Calibri"/>
          <w:color w:val="000000"/>
          <w:sz w:val="22"/>
          <w:szCs w:val="22"/>
        </w:rPr>
      </w:pPr>
      <w:r w:rsidRPr="00BC1559">
        <w:rPr>
          <w:rFonts w:ascii="Calibri" w:hAnsi="Calibri"/>
          <w:color w:val="000000"/>
          <w:sz w:val="22"/>
          <w:szCs w:val="22"/>
        </w:rPr>
        <w:t>This tool uses a simple copy-paste process for data input.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We recommend that data be set up in Excel or similar where the rectangular region containing the data are copied and then pasted into the input field.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An example is provided with a download button near the top next to the reset button.</w:t>
      </w:r>
    </w:p>
    <w:p w14:paraId="3675C46A" w14:textId="77777777" w:rsidR="00BC1559" w:rsidRPr="00BC1559" w:rsidRDefault="00BC1559" w:rsidP="00BC1559">
      <w:pPr>
        <w:pStyle w:val="ListParagraph"/>
        <w:spacing w:after="0" w:line="230" w:lineRule="atLeast"/>
        <w:ind w:hanging="360"/>
        <w:rPr>
          <w:rFonts w:ascii="Calibri" w:hAnsi="Calibri"/>
          <w:color w:val="000000"/>
          <w:sz w:val="22"/>
          <w:szCs w:val="22"/>
        </w:rPr>
      </w:pPr>
      <w:r w:rsidRPr="00BC1559">
        <w:rPr>
          <w:rFonts w:ascii="Calibri" w:hAnsi="Calibri"/>
          <w:color w:val="000000"/>
          <w:sz w:val="22"/>
          <w:szCs w:val="22"/>
        </w:rPr>
        <w:t>1.</w:t>
      </w:r>
      <w:r w:rsidRPr="00BC1559">
        <w:rPr>
          <w:color w:val="000000"/>
          <w:sz w:val="16"/>
          <w:szCs w:val="16"/>
        </w:rPr>
        <w:t>    </w:t>
      </w:r>
      <w:r w:rsidRPr="00BC1559">
        <w:rPr>
          <w:rStyle w:val="apple-converted-space"/>
          <w:color w:val="000000"/>
          <w:sz w:val="16"/>
          <w:szCs w:val="16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Provide a simple rectangular data table with results for each case/species arranged by rows.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Extra annotations, formatting,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proofErr w:type="spellStart"/>
      <w:r w:rsidRPr="00BC1559">
        <w:rPr>
          <w:rStyle w:val="spelle"/>
          <w:rFonts w:ascii="Calibri" w:hAnsi="Calibri"/>
          <w:color w:val="000000"/>
          <w:sz w:val="22"/>
          <w:szCs w:val="22"/>
        </w:rPr>
        <w:t>etc</w:t>
      </w:r>
      <w:proofErr w:type="spellEnd"/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may need to be removed.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Do not copy whitespace, use the minimum possible region containing the data.</w:t>
      </w:r>
    </w:p>
    <w:p w14:paraId="5EFCEA80" w14:textId="77777777" w:rsidR="00BC1559" w:rsidRPr="00BC1559" w:rsidRDefault="00BC1559" w:rsidP="00BC1559">
      <w:pPr>
        <w:pStyle w:val="ListParagraph"/>
        <w:spacing w:after="0" w:line="230" w:lineRule="atLeast"/>
        <w:ind w:hanging="360"/>
        <w:rPr>
          <w:rFonts w:ascii="Calibri" w:hAnsi="Calibri"/>
          <w:color w:val="000000"/>
          <w:sz w:val="22"/>
          <w:szCs w:val="22"/>
        </w:rPr>
      </w:pPr>
      <w:r w:rsidRPr="00BC1559">
        <w:rPr>
          <w:rFonts w:ascii="Calibri" w:hAnsi="Calibri"/>
          <w:color w:val="000000"/>
          <w:sz w:val="22"/>
          <w:szCs w:val="22"/>
        </w:rPr>
        <w:t>2.</w:t>
      </w:r>
      <w:r w:rsidRPr="00BC1559">
        <w:rPr>
          <w:color w:val="000000"/>
          <w:sz w:val="16"/>
          <w:szCs w:val="16"/>
        </w:rPr>
        <w:t>    </w:t>
      </w:r>
      <w:r w:rsidRPr="00BC1559">
        <w:rPr>
          <w:rStyle w:val="apple-converted-space"/>
          <w:color w:val="000000"/>
          <w:sz w:val="16"/>
          <w:szCs w:val="16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The data block should have a header line with names.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The column names can be flexible, but they should be unique and useful for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proofErr w:type="spellStart"/>
      <w:r w:rsidRPr="00BC1559">
        <w:rPr>
          <w:rStyle w:val="spelle"/>
          <w:rFonts w:ascii="Calibri" w:hAnsi="Calibri"/>
          <w:color w:val="000000"/>
          <w:sz w:val="22"/>
          <w:szCs w:val="22"/>
        </w:rPr>
        <w:t>chosing</w:t>
      </w:r>
      <w:proofErr w:type="spellEnd"/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the variables for analysis if there is any possibility for confusion.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Style w:val="spelle"/>
          <w:rFonts w:ascii="Calibri" w:hAnsi="Calibri"/>
          <w:color w:val="000000"/>
          <w:sz w:val="22"/>
          <w:szCs w:val="22"/>
        </w:rPr>
        <w:t>The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names are not used in the output except in a view of the input data and variable selections.</w:t>
      </w:r>
    </w:p>
    <w:p w14:paraId="27BD2218" w14:textId="77777777" w:rsidR="00BC1559" w:rsidRPr="00BC1559" w:rsidRDefault="00BC1559" w:rsidP="00BC1559">
      <w:pPr>
        <w:pStyle w:val="ListParagraph"/>
        <w:spacing w:after="0" w:line="230" w:lineRule="atLeast"/>
        <w:ind w:hanging="360"/>
        <w:rPr>
          <w:rFonts w:ascii="Calibri" w:hAnsi="Calibri"/>
          <w:color w:val="000000"/>
          <w:sz w:val="22"/>
          <w:szCs w:val="22"/>
        </w:rPr>
      </w:pPr>
      <w:r w:rsidRPr="00BC1559">
        <w:rPr>
          <w:rFonts w:ascii="Calibri" w:hAnsi="Calibri"/>
          <w:color w:val="000000"/>
          <w:sz w:val="22"/>
          <w:szCs w:val="22"/>
        </w:rPr>
        <w:t>3.</w:t>
      </w:r>
      <w:r w:rsidRPr="00BC1559">
        <w:rPr>
          <w:color w:val="000000"/>
          <w:sz w:val="16"/>
          <w:szCs w:val="16"/>
        </w:rPr>
        <w:t>    </w:t>
      </w:r>
      <w:r w:rsidRPr="00BC1559">
        <w:rPr>
          <w:rStyle w:val="apple-converted-space"/>
          <w:color w:val="000000"/>
          <w:sz w:val="16"/>
          <w:szCs w:val="16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The tool warns when multiple entries have the same species labels.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The analysis can still proceed.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The user is responsible for resolving, if appropriate.</w:t>
      </w:r>
    </w:p>
    <w:p w14:paraId="1DD1B449" w14:textId="77777777" w:rsidR="00BC1559" w:rsidRPr="00BC1559" w:rsidRDefault="00BC1559" w:rsidP="00BC1559">
      <w:pPr>
        <w:pStyle w:val="ListParagraph"/>
        <w:spacing w:after="120" w:line="230" w:lineRule="atLeast"/>
        <w:ind w:hanging="360"/>
        <w:rPr>
          <w:rFonts w:ascii="Calibri" w:hAnsi="Calibri"/>
          <w:color w:val="000000"/>
          <w:sz w:val="22"/>
          <w:szCs w:val="22"/>
        </w:rPr>
      </w:pPr>
      <w:r w:rsidRPr="00BC1559">
        <w:rPr>
          <w:rFonts w:ascii="Calibri" w:hAnsi="Calibri"/>
          <w:color w:val="000000"/>
          <w:sz w:val="22"/>
          <w:szCs w:val="22"/>
        </w:rPr>
        <w:t>4.</w:t>
      </w:r>
      <w:r w:rsidRPr="00BC1559">
        <w:rPr>
          <w:color w:val="000000"/>
          <w:sz w:val="16"/>
          <w:szCs w:val="16"/>
        </w:rPr>
        <w:t>    </w:t>
      </w:r>
      <w:r w:rsidRPr="00BC1559">
        <w:rPr>
          <w:rStyle w:val="apple-converted-space"/>
          <w:color w:val="000000"/>
          <w:sz w:val="16"/>
          <w:szCs w:val="16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For the most reliable performance, paste only columns required for the analysis.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The tool is designed to allow for extra columns in the data, but we cannot guarantee that the program will not confuse columns versus the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proofErr w:type="gramStart"/>
      <w:r w:rsidRPr="00BC1559">
        <w:rPr>
          <w:rStyle w:val="grame"/>
          <w:rFonts w:ascii="Calibri" w:hAnsi="Calibri"/>
          <w:color w:val="000000"/>
          <w:sz w:val="22"/>
          <w:szCs w:val="22"/>
        </w:rPr>
        <w:t>users</w:t>
      </w:r>
      <w:proofErr w:type="gramEnd"/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intentions.</w:t>
      </w:r>
    </w:p>
    <w:p w14:paraId="10FE0587" w14:textId="77777777" w:rsidR="00BC1559" w:rsidRPr="00BC1559" w:rsidRDefault="00BC1559" w:rsidP="00BC1559">
      <w:pPr>
        <w:pStyle w:val="Heading2"/>
        <w:shd w:val="clear" w:color="auto" w:fill="D9E2F3"/>
        <w:spacing w:before="0" w:after="0" w:line="253" w:lineRule="atLeast"/>
        <w:rPr>
          <w:rFonts w:ascii="Calibri" w:hAnsi="Calibri"/>
          <w:b w:val="0"/>
          <w:bCs w:val="0"/>
          <w:caps/>
          <w:color w:val="000000"/>
          <w:spacing w:val="15"/>
          <w:sz w:val="24"/>
          <w:szCs w:val="24"/>
        </w:rPr>
      </w:pPr>
      <w:r w:rsidRPr="00BC1559">
        <w:rPr>
          <w:rFonts w:ascii="Calibri" w:hAnsi="Calibri"/>
          <w:b w:val="0"/>
          <w:bCs w:val="0"/>
          <w:caps/>
          <w:color w:val="000000"/>
          <w:spacing w:val="15"/>
          <w:sz w:val="24"/>
          <w:szCs w:val="24"/>
        </w:rPr>
        <w:t>VARIABLE ROLES:</w:t>
      </w:r>
    </w:p>
    <w:p w14:paraId="7C26B793" w14:textId="77777777" w:rsidR="00BC1559" w:rsidRPr="00BC1559" w:rsidRDefault="00BC1559" w:rsidP="00BC1559">
      <w:pPr>
        <w:spacing w:after="120" w:line="230" w:lineRule="atLeast"/>
        <w:rPr>
          <w:rFonts w:ascii="Calibri" w:hAnsi="Calibri"/>
          <w:color w:val="000000"/>
          <w:sz w:val="22"/>
          <w:szCs w:val="22"/>
        </w:rPr>
      </w:pPr>
      <w:r w:rsidRPr="00BC1559">
        <w:rPr>
          <w:rFonts w:ascii="Calibri" w:hAnsi="Calibri"/>
          <w:i w:val="0"/>
          <w:iCs w:val="0"/>
          <w:color w:val="000000"/>
          <w:sz w:val="22"/>
          <w:szCs w:val="22"/>
        </w:rPr>
        <w:t>Response/NOEC value</w:t>
      </w:r>
      <w:r w:rsidRPr="00BC1559">
        <w:rPr>
          <w:rFonts w:ascii="Calibri" w:hAnsi="Calibri"/>
          <w:color w:val="000000"/>
          <w:sz w:val="22"/>
          <w:szCs w:val="22"/>
        </w:rPr>
        <w:t>: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Only numeric variables.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If more than one column of numeric data is supplied, the one with the most unique values is populated into this selection box.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If more than one variable meets the previous criterion, a normal goodness-of-fit test is used as a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proofErr w:type="gramStart"/>
      <w:r w:rsidRPr="00BC1559">
        <w:rPr>
          <w:rStyle w:val="grame"/>
          <w:rFonts w:ascii="Calibri" w:hAnsi="Calibri"/>
          <w:color w:val="000000"/>
          <w:sz w:val="22"/>
          <w:szCs w:val="22"/>
        </w:rPr>
        <w:t>tie-breaker</w:t>
      </w:r>
      <w:proofErr w:type="gramEnd"/>
      <w:r w:rsidRPr="00BC1559">
        <w:rPr>
          <w:rFonts w:ascii="Calibri" w:hAnsi="Calibri"/>
          <w:color w:val="000000"/>
          <w:sz w:val="22"/>
          <w:szCs w:val="22"/>
        </w:rPr>
        <w:t>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All numeric variables remain in the list of potential analysis variables, these rules only provide a guess to which variable is the one intended for analysis.</w:t>
      </w:r>
    </w:p>
    <w:p w14:paraId="745D70B2" w14:textId="77777777" w:rsidR="00BC1559" w:rsidRPr="00BC1559" w:rsidRDefault="00BC1559" w:rsidP="00BC1559">
      <w:pPr>
        <w:spacing w:after="120" w:line="230" w:lineRule="atLeast"/>
        <w:rPr>
          <w:rFonts w:ascii="Calibri" w:hAnsi="Calibri"/>
          <w:color w:val="000000"/>
          <w:sz w:val="22"/>
          <w:szCs w:val="22"/>
        </w:rPr>
      </w:pPr>
      <w:r w:rsidRPr="00BC1559">
        <w:rPr>
          <w:rFonts w:ascii="Calibri" w:hAnsi="Calibri"/>
          <w:i w:val="0"/>
          <w:iCs w:val="0"/>
          <w:color w:val="000000"/>
          <w:sz w:val="22"/>
          <w:szCs w:val="22"/>
        </w:rPr>
        <w:t>Species label</w:t>
      </w:r>
      <w:r w:rsidRPr="00BC1559">
        <w:rPr>
          <w:rFonts w:ascii="Calibri" w:hAnsi="Calibri"/>
          <w:color w:val="000000"/>
          <w:sz w:val="22"/>
          <w:szCs w:val="22"/>
        </w:rPr>
        <w:t>: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To be most general, this could be numeric or character.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The first one with the most unique values is populated.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The program will respond with an error if the column chosen is not unique for every data value.</w:t>
      </w:r>
    </w:p>
    <w:p w14:paraId="3FB944E4" w14:textId="77777777" w:rsidR="00BC1559" w:rsidRPr="00BC1559" w:rsidRDefault="00BC1559" w:rsidP="00BC1559">
      <w:pPr>
        <w:spacing w:after="120" w:line="230" w:lineRule="atLeast"/>
        <w:rPr>
          <w:rFonts w:ascii="Calibri" w:hAnsi="Calibri"/>
          <w:color w:val="000000"/>
          <w:sz w:val="22"/>
          <w:szCs w:val="22"/>
        </w:rPr>
      </w:pPr>
      <w:r w:rsidRPr="00BC1559">
        <w:rPr>
          <w:rFonts w:ascii="Calibri" w:hAnsi="Calibri"/>
          <w:i w:val="0"/>
          <w:iCs w:val="0"/>
          <w:color w:val="000000"/>
          <w:sz w:val="22"/>
          <w:szCs w:val="22"/>
        </w:rPr>
        <w:t>Grouping variable</w:t>
      </w:r>
      <w:r w:rsidRPr="00BC1559">
        <w:rPr>
          <w:rFonts w:ascii="Calibri" w:hAnsi="Calibri"/>
          <w:color w:val="000000"/>
          <w:sz w:val="22"/>
          <w:szCs w:val="22"/>
        </w:rPr>
        <w:t>: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When the grouping checkbox is selected the column with the fewest unique values, but more than one, is populated.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Most groups should have at least two data values.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Any group label with a single value may invalidate the grouping statistical analysis.</w:t>
      </w:r>
    </w:p>
    <w:p w14:paraId="4194ABC8" w14:textId="77777777" w:rsidR="00BC1559" w:rsidRPr="00BC1559" w:rsidRDefault="00BC1559" w:rsidP="00BC1559">
      <w:pPr>
        <w:spacing w:after="120" w:line="230" w:lineRule="atLeast"/>
        <w:rPr>
          <w:rFonts w:ascii="Calibri" w:hAnsi="Calibri"/>
          <w:color w:val="000000"/>
          <w:sz w:val="22"/>
          <w:szCs w:val="22"/>
        </w:rPr>
      </w:pPr>
      <w:r w:rsidRPr="00BC1559">
        <w:rPr>
          <w:rFonts w:ascii="Calibri" w:hAnsi="Calibri"/>
          <w:color w:val="000000"/>
          <w:sz w:val="22"/>
          <w:szCs w:val="22"/>
        </w:rPr>
        <w:t>The tool will allow variables to play dual roles (e.g., for a grouped analysis it may be of interest to label observations by taxonomic group instead of unique species labels).</w:t>
      </w:r>
    </w:p>
    <w:p w14:paraId="7F8EE009" w14:textId="77777777" w:rsidR="00BC1559" w:rsidRPr="00BC1559" w:rsidRDefault="00BC1559" w:rsidP="00BC1559">
      <w:pPr>
        <w:pStyle w:val="Heading1"/>
        <w:shd w:val="clear" w:color="auto" w:fill="4472C4"/>
        <w:spacing w:before="0" w:after="0" w:line="253" w:lineRule="atLeast"/>
        <w:rPr>
          <w:rFonts w:ascii="Calibri" w:hAnsi="Calibri"/>
          <w:caps/>
          <w:color w:val="FFFFFF"/>
          <w:spacing w:val="15"/>
          <w:sz w:val="24"/>
          <w:szCs w:val="24"/>
        </w:rPr>
      </w:pPr>
      <w:r w:rsidRPr="00BC1559">
        <w:rPr>
          <w:rFonts w:ascii="Calibri" w:hAnsi="Calibri"/>
          <w:caps/>
          <w:color w:val="FFFFFF"/>
          <w:spacing w:val="15"/>
          <w:sz w:val="24"/>
          <w:szCs w:val="24"/>
        </w:rPr>
        <w:t>COMPONENTS OF THE ANALYSIS</w:t>
      </w:r>
    </w:p>
    <w:p w14:paraId="2184B333" w14:textId="77777777" w:rsidR="00BC1559" w:rsidRDefault="00BC1559" w:rsidP="00BC1559">
      <w:pPr>
        <w:shd w:val="clear" w:color="auto" w:fill="FFFFFF"/>
        <w:spacing w:after="120" w:line="230" w:lineRule="atLeast"/>
        <w:rPr>
          <w:rFonts w:ascii="Calibri" w:eastAsia="Times New Roman" w:hAnsi="Calibri" w:cs="Times New Roman"/>
          <w:color w:val="272727"/>
          <w:sz w:val="22"/>
          <w:szCs w:val="22"/>
        </w:rPr>
      </w:pPr>
      <w:r w:rsidRPr="00BC1559">
        <w:rPr>
          <w:rFonts w:ascii="Calibri" w:eastAsia="Times New Roman" w:hAnsi="Calibri" w:cs="Times New Roman"/>
          <w:color w:val="272727"/>
          <w:sz w:val="22"/>
          <w:szCs w:val="22"/>
        </w:rPr>
        <w:t>The SSD analysis tool fits log-logistic and log-normal distributions.  In SSD literature other distributions are occasionally used, but at typical sample sizes it is very difficult to statistically differentiate distributions.  </w:t>
      </w:r>
    </w:p>
    <w:p w14:paraId="5D35CC92" w14:textId="20240947" w:rsidR="00BC1559" w:rsidRPr="00BC1559" w:rsidRDefault="00BC1559" w:rsidP="00BC1559">
      <w:pPr>
        <w:shd w:val="clear" w:color="auto" w:fill="FFFFFF"/>
        <w:spacing w:after="120" w:line="230" w:lineRule="atLeast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C1559">
        <w:rPr>
          <w:rFonts w:ascii="Calibri" w:eastAsia="Times New Roman" w:hAnsi="Calibri" w:cs="Times New Roman"/>
          <w:color w:val="272727"/>
          <w:sz w:val="22"/>
          <w:szCs w:val="22"/>
        </w:rPr>
        <w:t xml:space="preserve">There will always be a best fitting distribution, but such a selection method has high error rates. We recommend evaluating distributions based on Anderson-Darling Goodness of Fit statistic, and if both distributions provide a suitable fit, select the more conservative </w:t>
      </w:r>
      <w:proofErr w:type="spellStart"/>
      <w:r w:rsidRPr="00BC1559">
        <w:rPr>
          <w:rFonts w:ascii="Calibri" w:eastAsia="Times New Roman" w:hAnsi="Calibri" w:cs="Times New Roman"/>
          <w:color w:val="272727"/>
          <w:sz w:val="22"/>
          <w:szCs w:val="22"/>
        </w:rPr>
        <w:t>HCx</w:t>
      </w:r>
      <w:proofErr w:type="spellEnd"/>
      <w:r w:rsidRPr="00BC1559">
        <w:rPr>
          <w:rFonts w:ascii="Calibri" w:eastAsia="Times New Roman" w:hAnsi="Calibri" w:cs="Times New Roman"/>
          <w:color w:val="272727"/>
          <w:sz w:val="22"/>
          <w:szCs w:val="22"/>
        </w:rPr>
        <w:t xml:space="preserve"> value as the SSD output. The output in MS Excel format provides the numerical results, while the PDF output provides graphical summaries.</w:t>
      </w:r>
    </w:p>
    <w:p w14:paraId="73F5F5BF" w14:textId="77777777" w:rsidR="00BC1559" w:rsidRPr="00BC1559" w:rsidRDefault="00BC1559" w:rsidP="00BC1559">
      <w:pPr>
        <w:shd w:val="clear" w:color="auto" w:fill="FFFFFF"/>
        <w:spacing w:after="120" w:line="230" w:lineRule="atLeast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C1559">
        <w:rPr>
          <w:rFonts w:ascii="Calibri" w:eastAsia="Times New Roman" w:hAnsi="Calibri" w:cs="Times New Roman"/>
          <w:color w:val="272727"/>
          <w:sz w:val="22"/>
          <w:szCs w:val="22"/>
        </w:rPr>
        <w:lastRenderedPageBreak/>
        <w:t>The user may optionally request leave-one-out and add-one-in analyses to investigate the sensitivity of the fits to the data in hand, and the potential that a single new observation could move the </w:t>
      </w:r>
      <w:proofErr w:type="spellStart"/>
      <w:r w:rsidRPr="00BC1559">
        <w:rPr>
          <w:rFonts w:ascii="Calibri" w:eastAsia="Times New Roman" w:hAnsi="Calibri" w:cs="Times New Roman"/>
          <w:color w:val="272727"/>
          <w:sz w:val="22"/>
          <w:szCs w:val="22"/>
        </w:rPr>
        <w:t>HCx</w:t>
      </w:r>
      <w:proofErr w:type="spellEnd"/>
      <w:r w:rsidRPr="00BC1559">
        <w:rPr>
          <w:rFonts w:ascii="Calibri" w:eastAsia="Times New Roman" w:hAnsi="Calibri" w:cs="Times New Roman"/>
          <w:color w:val="272727"/>
          <w:sz w:val="22"/>
          <w:szCs w:val="22"/>
        </w:rPr>
        <w:t xml:space="preserve"> to various degrees. The user may also </w:t>
      </w:r>
      <w:proofErr w:type="gramStart"/>
      <w:r w:rsidRPr="00BC1559">
        <w:rPr>
          <w:rFonts w:ascii="Calibri" w:eastAsia="Times New Roman" w:hAnsi="Calibri" w:cs="Times New Roman"/>
          <w:color w:val="272727"/>
          <w:sz w:val="22"/>
          <w:szCs w:val="22"/>
        </w:rPr>
        <w:t>chose</w:t>
      </w:r>
      <w:proofErr w:type="gramEnd"/>
      <w:r w:rsidRPr="00BC1559">
        <w:rPr>
          <w:rFonts w:ascii="Calibri" w:eastAsia="Times New Roman" w:hAnsi="Calibri" w:cs="Times New Roman"/>
          <w:color w:val="272727"/>
          <w:sz w:val="22"/>
          <w:szCs w:val="22"/>
        </w:rPr>
        <w:t xml:space="preserve"> to complete a grouping analysis to determine </w:t>
      </w:r>
      <w:r w:rsidRPr="00BC1559">
        <w:rPr>
          <w:rFonts w:ascii="Calibri" w:eastAsia="Times New Roman" w:hAnsi="Calibri" w:cs="Times New Roman"/>
          <w:color w:val="000000"/>
          <w:sz w:val="22"/>
          <w:szCs w:val="22"/>
        </w:rPr>
        <w:t>if there are substantial patterns of differences in sensitivity with respect to trophic level/taxonomic groups.</w:t>
      </w:r>
    </w:p>
    <w:p w14:paraId="59A56782" w14:textId="7ADB6D29" w:rsidR="00BC1559" w:rsidRPr="00BC1559" w:rsidRDefault="00BC1559" w:rsidP="00BC1559">
      <w:pPr>
        <w:shd w:val="clear" w:color="auto" w:fill="FFFFFF"/>
        <w:spacing w:after="120" w:line="230" w:lineRule="atLeast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BC1559">
        <w:rPr>
          <w:rFonts w:ascii="Calibri" w:eastAsia="Times New Roman" w:hAnsi="Calibri" w:cs="Times New Roman"/>
          <w:color w:val="000000"/>
          <w:sz w:val="22"/>
          <w:szCs w:val="22"/>
        </w:rPr>
        <w:t>For more information, please consult the User Guide</w:t>
      </w:r>
    </w:p>
    <w:p w14:paraId="0473F54D" w14:textId="77777777" w:rsidR="00BC1559" w:rsidRPr="00BC1559" w:rsidRDefault="00BC1559" w:rsidP="00BC1559">
      <w:pPr>
        <w:pStyle w:val="Heading1"/>
        <w:shd w:val="clear" w:color="auto" w:fill="4472C4"/>
        <w:spacing w:before="0" w:after="0" w:line="253" w:lineRule="atLeast"/>
        <w:rPr>
          <w:rFonts w:ascii="Calibri" w:hAnsi="Calibri"/>
          <w:caps/>
          <w:color w:val="FFFFFF"/>
          <w:spacing w:val="15"/>
          <w:sz w:val="24"/>
          <w:szCs w:val="24"/>
        </w:rPr>
      </w:pPr>
      <w:r w:rsidRPr="00BC1559">
        <w:rPr>
          <w:rFonts w:ascii="Calibri" w:hAnsi="Calibri"/>
          <w:caps/>
          <w:color w:val="FFFFFF"/>
          <w:spacing w:val="15"/>
          <w:sz w:val="24"/>
          <w:szCs w:val="24"/>
        </w:rPr>
        <w:t>DISCLAIMER</w:t>
      </w:r>
    </w:p>
    <w:p w14:paraId="6F9636A7" w14:textId="77777777" w:rsidR="00BC1559" w:rsidRPr="00BC1559" w:rsidRDefault="00BC1559" w:rsidP="00BC1559">
      <w:pPr>
        <w:spacing w:after="120" w:line="230" w:lineRule="atLeast"/>
        <w:rPr>
          <w:rFonts w:ascii="Calibri" w:hAnsi="Calibri"/>
          <w:color w:val="000000"/>
          <w:sz w:val="22"/>
          <w:szCs w:val="22"/>
        </w:rPr>
      </w:pPr>
      <w:r w:rsidRPr="00BC1559">
        <w:rPr>
          <w:rFonts w:ascii="Calibri" w:hAnsi="Calibri"/>
          <w:color w:val="000000"/>
          <w:sz w:val="22"/>
          <w:szCs w:val="22"/>
        </w:rPr>
        <w:t>No warranty is made. 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It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Style w:val="spelle"/>
          <w:rFonts w:ascii="Calibri" w:hAnsi="Calibri"/>
          <w:color w:val="000000"/>
          <w:sz w:val="22"/>
          <w:szCs w:val="22"/>
        </w:rPr>
        <w:t>is</w:t>
      </w:r>
      <w:r w:rsidRPr="00BC1559"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BC1559">
        <w:rPr>
          <w:rFonts w:ascii="Calibri" w:hAnsi="Calibri"/>
          <w:color w:val="000000"/>
          <w:sz w:val="22"/>
          <w:szCs w:val="22"/>
        </w:rPr>
        <w:t>the responsibility of the user to ensure that the application of this tool is appropriate for the data being analyzed.</w:t>
      </w:r>
    </w:p>
    <w:p w14:paraId="5007EFA0" w14:textId="77777777" w:rsidR="00BC1559" w:rsidRDefault="00BC1559"/>
    <w:sectPr w:rsidR="00BC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59"/>
    <w:rsid w:val="0006227F"/>
    <w:rsid w:val="00540C6D"/>
    <w:rsid w:val="00B8682F"/>
    <w:rsid w:val="00BC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FF8A"/>
  <w15:chartTrackingRefBased/>
  <w15:docId w15:val="{34171857-17EE-C44E-AE7C-F122217E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55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559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559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559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559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559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559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559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55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55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59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559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559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559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559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559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559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559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559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1559"/>
    <w:rPr>
      <w:b/>
      <w:bCs/>
      <w:color w:val="3476B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1559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C155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559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1559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Strong">
    <w:name w:val="Strong"/>
    <w:uiPriority w:val="22"/>
    <w:qFormat/>
    <w:rsid w:val="00BC1559"/>
    <w:rPr>
      <w:b/>
      <w:bCs/>
      <w:spacing w:val="0"/>
    </w:rPr>
  </w:style>
  <w:style w:type="character" w:styleId="Emphasis">
    <w:name w:val="Emphasis"/>
    <w:uiPriority w:val="20"/>
    <w:qFormat/>
    <w:rsid w:val="00BC1559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BC155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1559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BC15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1559"/>
    <w:rPr>
      <w:i w:val="0"/>
      <w:iCs w:val="0"/>
      <w:color w:val="3476B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C1559"/>
    <w:rPr>
      <w:color w:val="3476B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559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559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SubtleEmphasis">
    <w:name w:val="Subtle Emphasis"/>
    <w:uiPriority w:val="19"/>
    <w:qFormat/>
    <w:rsid w:val="00BC1559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styleId="IntenseEmphasis">
    <w:name w:val="Intense Emphasis"/>
    <w:uiPriority w:val="21"/>
    <w:qFormat/>
    <w:rsid w:val="00BC155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SubtleReference">
    <w:name w:val="Subtle Reference"/>
    <w:uiPriority w:val="31"/>
    <w:qFormat/>
    <w:rsid w:val="00BC1559"/>
    <w:rPr>
      <w:i/>
      <w:iCs/>
      <w:smallCaps/>
      <w:color w:val="629DD1" w:themeColor="accent2"/>
      <w:u w:color="629DD1" w:themeColor="accent2"/>
    </w:rPr>
  </w:style>
  <w:style w:type="character" w:styleId="IntenseReference">
    <w:name w:val="Intense Reference"/>
    <w:uiPriority w:val="32"/>
    <w:qFormat/>
    <w:rsid w:val="00BC1559"/>
    <w:rPr>
      <w:b/>
      <w:bCs/>
      <w:i/>
      <w:iCs/>
      <w:smallCaps/>
      <w:color w:val="629DD1" w:themeColor="accent2"/>
      <w:u w:color="629DD1" w:themeColor="accent2"/>
    </w:rPr>
  </w:style>
  <w:style w:type="character" w:styleId="BookTitle">
    <w:name w:val="Book Title"/>
    <w:uiPriority w:val="33"/>
    <w:qFormat/>
    <w:rsid w:val="00BC1559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559"/>
    <w:pPr>
      <w:outlineLvl w:val="9"/>
    </w:pPr>
  </w:style>
  <w:style w:type="character" w:customStyle="1" w:styleId="apple-converted-space">
    <w:name w:val="apple-converted-space"/>
    <w:basedOn w:val="DefaultParagraphFont"/>
    <w:rsid w:val="00BC1559"/>
  </w:style>
  <w:style w:type="character" w:customStyle="1" w:styleId="spelle">
    <w:name w:val="spelle"/>
    <w:basedOn w:val="DefaultParagraphFont"/>
    <w:rsid w:val="00BC1559"/>
  </w:style>
  <w:style w:type="character" w:customStyle="1" w:styleId="grame">
    <w:name w:val="grame"/>
    <w:basedOn w:val="DefaultParagraphFont"/>
    <w:rsid w:val="00BC1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931">
          <w:marLeft w:val="0"/>
          <w:marRight w:val="0"/>
          <w:marTop w:val="0"/>
          <w:marBottom w:val="0"/>
          <w:divBdr>
            <w:top w:val="single" w:sz="24" w:space="0" w:color="4472C4"/>
            <w:left w:val="single" w:sz="24" w:space="0" w:color="4472C4"/>
            <w:bottom w:val="single" w:sz="24" w:space="0" w:color="4472C4"/>
            <w:right w:val="single" w:sz="24" w:space="0" w:color="4472C4"/>
          </w:divBdr>
        </w:div>
        <w:div w:id="1566598919">
          <w:marLeft w:val="0"/>
          <w:marRight w:val="0"/>
          <w:marTop w:val="0"/>
          <w:marBottom w:val="0"/>
          <w:divBdr>
            <w:top w:val="single" w:sz="24" w:space="0" w:color="D9E2F3"/>
            <w:left w:val="single" w:sz="24" w:space="0" w:color="D9E2F3"/>
            <w:bottom w:val="single" w:sz="24" w:space="0" w:color="D9E2F3"/>
            <w:right w:val="single" w:sz="24" w:space="0" w:color="D9E2F3"/>
          </w:divBdr>
        </w:div>
        <w:div w:id="473723612">
          <w:marLeft w:val="0"/>
          <w:marRight w:val="0"/>
          <w:marTop w:val="0"/>
          <w:marBottom w:val="0"/>
          <w:divBdr>
            <w:top w:val="single" w:sz="24" w:space="0" w:color="4472C4"/>
            <w:left w:val="single" w:sz="24" w:space="0" w:color="4472C4"/>
            <w:bottom w:val="single" w:sz="24" w:space="0" w:color="4472C4"/>
            <w:right w:val="single" w:sz="24" w:space="0" w:color="4472C4"/>
          </w:divBdr>
        </w:div>
        <w:div w:id="374743453">
          <w:marLeft w:val="0"/>
          <w:marRight w:val="0"/>
          <w:marTop w:val="0"/>
          <w:marBottom w:val="0"/>
          <w:divBdr>
            <w:top w:val="single" w:sz="24" w:space="0" w:color="4472C4"/>
            <w:left w:val="single" w:sz="24" w:space="0" w:color="4472C4"/>
            <w:bottom w:val="single" w:sz="24" w:space="0" w:color="4472C4"/>
            <w:right w:val="single" w:sz="24" w:space="0" w:color="4472C4"/>
          </w:divBdr>
        </w:div>
      </w:divsChild>
    </w:div>
    <w:div w:id="1849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Geneus, Christian</dc:creator>
  <cp:keywords/>
  <dc:description/>
  <cp:lastModifiedBy>Geneus, Christian</cp:lastModifiedBy>
  <cp:revision>1</cp:revision>
  <dcterms:created xsi:type="dcterms:W3CDTF">2021-09-15T15:33:00Z</dcterms:created>
  <dcterms:modified xsi:type="dcterms:W3CDTF">2021-09-15T15:45:00Z</dcterms:modified>
</cp:coreProperties>
</file>