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retention policy</w:t>
      </w:r>
    </w:p>
    <w:p>
      <w:r>
        <w:t>This policy sets how long the team keeps records of model use.</w:t>
      </w:r>
    </w:p>
    <w:p>
      <w:pPr>
        <w:pStyle w:val="Heading2"/>
      </w:pPr>
      <w:r>
        <w:t>Retention periods</w:t>
      </w:r>
    </w:p>
    <w:p>
      <w:r>
        <w:t>Logs are kept for six months and then deleted.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Kept for</w:t>
            </w:r>
          </w:p>
        </w:tc>
      </w:tr>
      <w:tr>
        <w:tc>
          <w:tcPr>
            <w:tcW w:type="dxa" w:w="4320"/>
          </w:tcPr>
          <w:p>
            <w:r>
              <w:t>Access logs</w:t>
            </w:r>
          </w:p>
        </w:tc>
        <w:tc>
          <w:tcPr>
            <w:tcW w:type="dxa" w:w="4320"/>
          </w:tcPr>
          <w:p>
            <w:r>
              <w:t>6 months</w:t>
            </w:r>
          </w:p>
        </w:tc>
      </w:tr>
      <w:tr>
        <w:tc>
          <w:tcPr>
            <w:tcW w:type="dxa" w:w="4320"/>
          </w:tcPr>
          <w:p>
            <w:r>
              <w:t>Incident reports</w:t>
            </w:r>
          </w:p>
        </w:tc>
        <w:tc>
          <w:tcPr>
            <w:tcW w:type="dxa" w:w="4320"/>
          </w:tcPr>
          <w:p>
            <w:r>
              <w:t>5 years</w:t>
            </w:r>
          </w:p>
        </w:tc>
      </w:tr>
    </w:tbl>
    <w:p>
      <w:pPr>
        <w:pStyle w:val="Heading2"/>
      </w:pPr>
      <w:r>
        <w:t>Review</w:t>
      </w:r>
    </w:p>
    <w:p>
      <w:r>
        <w:t>The policy is reviewed every year by the compliance officer.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