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06E6" w14:textId="35CC2EED" w:rsidR="004D6FD4" w:rsidRPr="004D6FD4" w:rsidRDefault="004D6FD4" w:rsidP="004D6FD4">
      <w:pPr>
        <w:spacing w:line="360" w:lineRule="auto"/>
        <w:rPr>
          <w:rFonts w:ascii="Times New Roman" w:hAnsi="Times New Roman" w:cs="Times New Roman"/>
          <w:b/>
          <w:bCs/>
          <w:sz w:val="24"/>
          <w:szCs w:val="24"/>
          <w:lang w:val="en-IE"/>
        </w:rPr>
      </w:pPr>
      <w:r w:rsidRPr="004D6FD4">
        <w:rPr>
          <w:rFonts w:ascii="Times New Roman" w:hAnsi="Times New Roman" w:cs="Times New Roman"/>
          <w:b/>
          <w:bCs/>
          <w:sz w:val="24"/>
          <w:szCs w:val="24"/>
          <w:lang w:val="en-IE"/>
        </w:rPr>
        <w:t>CLIC Case 0003</w:t>
      </w:r>
      <w:r>
        <w:rPr>
          <w:rFonts w:ascii="Times New Roman" w:hAnsi="Times New Roman" w:cs="Times New Roman"/>
          <w:b/>
          <w:bCs/>
          <w:sz w:val="24"/>
          <w:szCs w:val="24"/>
          <w:lang w:val="en-IE"/>
        </w:rPr>
        <w:br/>
      </w:r>
      <w:r w:rsidRPr="004D6FD4">
        <w:rPr>
          <w:rFonts w:ascii="Times New Roman" w:hAnsi="Times New Roman" w:cs="Times New Roman"/>
          <w:b/>
          <w:bCs/>
          <w:sz w:val="24"/>
          <w:szCs w:val="24"/>
          <w:lang w:val="en-IE"/>
        </w:rPr>
        <w:t>Country/Court:</w:t>
      </w:r>
      <w:r w:rsidRPr="004D6FD4">
        <w:rPr>
          <w:rFonts w:ascii="Times New Roman" w:hAnsi="Times New Roman" w:cs="Times New Roman"/>
          <w:sz w:val="24"/>
          <w:szCs w:val="24"/>
          <w:lang w:val="en-IE"/>
        </w:rPr>
        <w:t xml:space="preserve"> Colombia, Constitutional Court (Corte </w:t>
      </w:r>
      <w:proofErr w:type="spellStart"/>
      <w:r w:rsidRPr="004D6FD4">
        <w:rPr>
          <w:rFonts w:ascii="Times New Roman" w:hAnsi="Times New Roman" w:cs="Times New Roman"/>
          <w:sz w:val="24"/>
          <w:szCs w:val="24"/>
          <w:lang w:val="en-IE"/>
        </w:rPr>
        <w:t>Constitucional</w:t>
      </w:r>
      <w:proofErr w:type="spellEnd"/>
      <w:r w:rsidRPr="004D6FD4">
        <w:rPr>
          <w:rFonts w:ascii="Times New Roman" w:hAnsi="Times New Roman" w:cs="Times New Roman"/>
          <w:sz w:val="24"/>
          <w:szCs w:val="24"/>
          <w:lang w:val="en-IE"/>
        </w:rPr>
        <w:t>)</w:t>
      </w:r>
      <w:r>
        <w:rPr>
          <w:rFonts w:ascii="Times New Roman" w:hAnsi="Times New Roman" w:cs="Times New Roman"/>
          <w:b/>
          <w:bCs/>
          <w:sz w:val="24"/>
          <w:szCs w:val="24"/>
          <w:lang w:val="en-IE"/>
        </w:rPr>
        <w:br/>
      </w:r>
      <w:r w:rsidRPr="004D6FD4">
        <w:rPr>
          <w:rFonts w:ascii="Times New Roman" w:hAnsi="Times New Roman" w:cs="Times New Roman"/>
          <w:b/>
          <w:bCs/>
          <w:sz w:val="24"/>
          <w:szCs w:val="24"/>
          <w:lang w:val="en-IE"/>
        </w:rPr>
        <w:t>Decision number/date:</w:t>
      </w:r>
      <w:r w:rsidRPr="004D6FD4">
        <w:rPr>
          <w:rFonts w:ascii="Times New Roman" w:hAnsi="Times New Roman" w:cs="Times New Roman"/>
          <w:sz w:val="24"/>
          <w:szCs w:val="24"/>
          <w:lang w:val="en-IE"/>
        </w:rPr>
        <w:t xml:space="preserve"> </w:t>
      </w:r>
      <w:proofErr w:type="spellStart"/>
      <w:r w:rsidRPr="004D6FD4">
        <w:rPr>
          <w:rFonts w:ascii="Times New Roman" w:hAnsi="Times New Roman" w:cs="Times New Roman"/>
          <w:sz w:val="24"/>
          <w:szCs w:val="24"/>
          <w:lang w:val="en-IE"/>
        </w:rPr>
        <w:t>Sentencia</w:t>
      </w:r>
      <w:proofErr w:type="spellEnd"/>
      <w:r w:rsidRPr="004D6FD4">
        <w:rPr>
          <w:rFonts w:ascii="Times New Roman" w:hAnsi="Times New Roman" w:cs="Times New Roman"/>
          <w:sz w:val="24"/>
          <w:szCs w:val="24"/>
          <w:lang w:val="en-IE"/>
        </w:rPr>
        <w:t xml:space="preserve"> C-177/01, 2001-02-14</w:t>
      </w:r>
      <w:r>
        <w:rPr>
          <w:rFonts w:ascii="Times New Roman" w:hAnsi="Times New Roman" w:cs="Times New Roman"/>
          <w:b/>
          <w:bCs/>
          <w:sz w:val="24"/>
          <w:szCs w:val="24"/>
          <w:lang w:val="en-IE"/>
        </w:rPr>
        <w:br/>
      </w:r>
      <w:r w:rsidRPr="004D6FD4">
        <w:rPr>
          <w:rFonts w:ascii="Times New Roman" w:hAnsi="Times New Roman" w:cs="Times New Roman"/>
          <w:b/>
          <w:bCs/>
          <w:sz w:val="24"/>
          <w:szCs w:val="24"/>
          <w:lang w:val="en-IE"/>
        </w:rPr>
        <w:t>Crime / Issue:</w:t>
      </w:r>
      <w:r w:rsidRPr="004D6FD4">
        <w:rPr>
          <w:rFonts w:ascii="Times New Roman" w:hAnsi="Times New Roman" w:cs="Times New Roman"/>
          <w:sz w:val="24"/>
          <w:szCs w:val="24"/>
          <w:lang w:val="en-IE"/>
        </w:rPr>
        <w:t xml:space="preserve"> Genocide </w:t>
      </w:r>
      <w:r>
        <w:rPr>
          <w:rFonts w:ascii="Times New Roman" w:hAnsi="Times New Roman" w:cs="Times New Roman"/>
          <w:b/>
          <w:bCs/>
          <w:sz w:val="24"/>
          <w:szCs w:val="24"/>
          <w:lang w:val="en-IE"/>
        </w:rPr>
        <w:br/>
      </w:r>
      <w:r w:rsidRPr="004D6FD4">
        <w:rPr>
          <w:rFonts w:ascii="Times New Roman" w:hAnsi="Times New Roman" w:cs="Times New Roman"/>
          <w:b/>
          <w:bCs/>
          <w:sz w:val="24"/>
          <w:szCs w:val="24"/>
          <w:lang w:val="en-IE"/>
        </w:rPr>
        <w:t>Abstract prepared by:</w:t>
      </w:r>
      <w:r w:rsidRPr="004D6FD4">
        <w:rPr>
          <w:rFonts w:ascii="Times New Roman" w:hAnsi="Times New Roman" w:cs="Times New Roman"/>
          <w:sz w:val="24"/>
          <w:szCs w:val="24"/>
          <w:lang w:val="en-IE"/>
        </w:rPr>
        <w:t xml:space="preserve"> </w:t>
      </w:r>
      <w:r w:rsidRPr="004D6FD4">
        <w:rPr>
          <w:rFonts w:ascii="Times New Roman" w:hAnsi="Times New Roman" w:cs="Times New Roman"/>
          <w:sz w:val="24"/>
          <w:szCs w:val="24"/>
          <w:lang w:val="en-IE"/>
        </w:rPr>
        <w:t>Philipp Gartner</w:t>
      </w:r>
    </w:p>
    <w:p w14:paraId="77D8604C" w14:textId="77777777" w:rsidR="004D6FD4" w:rsidRPr="004D6FD4" w:rsidRDefault="004D6FD4" w:rsidP="004D6FD4">
      <w:pPr>
        <w:spacing w:line="360" w:lineRule="auto"/>
        <w:jc w:val="both"/>
        <w:rPr>
          <w:rFonts w:ascii="Times New Roman" w:hAnsi="Times New Roman" w:cs="Times New Roman"/>
          <w:sz w:val="24"/>
          <w:szCs w:val="24"/>
          <w:lang w:val="en-IE"/>
        </w:rPr>
      </w:pPr>
      <w:r w:rsidRPr="004D6FD4">
        <w:rPr>
          <w:rFonts w:ascii="Times New Roman" w:hAnsi="Times New Roman" w:cs="Times New Roman"/>
          <w:sz w:val="24"/>
          <w:szCs w:val="24"/>
          <w:lang w:val="en-IE"/>
        </w:rPr>
        <w:t>A public lawsuit of unconstitutionality was filed before the Constitutional Court of Colombia by a citizen challenging a specific phrase within Article 322A of the Penal Code, which was introduced by Law 589 of 2000. The contested provision codified the crime of genocide domestically but explicitly restricted its scope to the partial or total destruction of a national, ethnic, racial, religious, or political group "that acts within the margin of the law." The plaintiff argued that this qualification stripped illegal, unregistered, or socially marginalized groups of essential legal protections, directly violating absolute constitutional guarantees regarding the right to life, human dignity, and the principle of equality before the law. Furthermore, she raised concerns that this legal loophole would grant practical impunity for systematic atrocities disguised as "social cleansings" or the wholesale extermination of political dissidents.</w:t>
      </w:r>
    </w:p>
    <w:p w14:paraId="42F32D09" w14:textId="77777777" w:rsidR="004D6FD4" w:rsidRPr="004D6FD4" w:rsidRDefault="004D6FD4" w:rsidP="004D6FD4">
      <w:pPr>
        <w:spacing w:line="360" w:lineRule="auto"/>
        <w:jc w:val="both"/>
        <w:rPr>
          <w:rFonts w:ascii="Times New Roman" w:hAnsi="Times New Roman" w:cs="Times New Roman"/>
          <w:sz w:val="24"/>
          <w:szCs w:val="24"/>
          <w:lang w:val="en-IE"/>
        </w:rPr>
      </w:pPr>
      <w:r w:rsidRPr="004D6FD4">
        <w:rPr>
          <w:rFonts w:ascii="Times New Roman" w:hAnsi="Times New Roman" w:cs="Times New Roman"/>
          <w:sz w:val="24"/>
          <w:szCs w:val="24"/>
          <w:lang w:val="en-IE"/>
        </w:rPr>
        <w:t xml:space="preserve">Opposing arguments and interventions were subsequently submitted by various state authorities and civil society organizations, dividing opinions on the statutory restriction. The Ministry of Justice and the </w:t>
      </w:r>
      <w:proofErr w:type="spellStart"/>
      <w:r w:rsidRPr="004D6FD4">
        <w:rPr>
          <w:rFonts w:ascii="Times New Roman" w:hAnsi="Times New Roman" w:cs="Times New Roman"/>
          <w:sz w:val="24"/>
          <w:szCs w:val="24"/>
          <w:lang w:val="en-IE"/>
        </w:rPr>
        <w:t>Fiscalía</w:t>
      </w:r>
      <w:proofErr w:type="spellEnd"/>
      <w:r w:rsidRPr="004D6FD4">
        <w:rPr>
          <w:rFonts w:ascii="Times New Roman" w:hAnsi="Times New Roman" w:cs="Times New Roman"/>
          <w:sz w:val="24"/>
          <w:szCs w:val="24"/>
          <w:lang w:val="en-IE"/>
        </w:rPr>
        <w:t xml:space="preserve"> General de la </w:t>
      </w:r>
      <w:proofErr w:type="spellStart"/>
      <w:r w:rsidRPr="004D6FD4">
        <w:rPr>
          <w:rFonts w:ascii="Times New Roman" w:hAnsi="Times New Roman" w:cs="Times New Roman"/>
          <w:sz w:val="24"/>
          <w:szCs w:val="24"/>
          <w:lang w:val="en-IE"/>
        </w:rPr>
        <w:t>Nación</w:t>
      </w:r>
      <w:proofErr w:type="spellEnd"/>
      <w:r w:rsidRPr="004D6FD4">
        <w:rPr>
          <w:rFonts w:ascii="Times New Roman" w:hAnsi="Times New Roman" w:cs="Times New Roman"/>
          <w:sz w:val="24"/>
          <w:szCs w:val="24"/>
          <w:lang w:val="en-IE"/>
        </w:rPr>
        <w:t xml:space="preserve"> defended the constitutionality of the phrase, asserting that the destruction of illegal groups did not result in impunity because such acts would remain fully punishable under ordinary criminal provisions like aggravated homicide. They further argued that the state could not extend identical protections to unlawful organizations and that the clause was necessary to protect legitimate military combat operations against illegal insurgent forces. Conversely, the </w:t>
      </w:r>
      <w:proofErr w:type="spellStart"/>
      <w:r w:rsidRPr="004D6FD4">
        <w:rPr>
          <w:rFonts w:ascii="Times New Roman" w:hAnsi="Times New Roman" w:cs="Times New Roman"/>
          <w:sz w:val="24"/>
          <w:szCs w:val="24"/>
          <w:lang w:val="en-IE"/>
        </w:rPr>
        <w:t>Procurador</w:t>
      </w:r>
      <w:proofErr w:type="spellEnd"/>
      <w:r w:rsidRPr="004D6FD4">
        <w:rPr>
          <w:rFonts w:ascii="Times New Roman" w:hAnsi="Times New Roman" w:cs="Times New Roman"/>
          <w:sz w:val="24"/>
          <w:szCs w:val="24"/>
          <w:lang w:val="en-IE"/>
        </w:rPr>
        <w:t xml:space="preserve"> General de la </w:t>
      </w:r>
      <w:proofErr w:type="spellStart"/>
      <w:r w:rsidRPr="004D6FD4">
        <w:rPr>
          <w:rFonts w:ascii="Times New Roman" w:hAnsi="Times New Roman" w:cs="Times New Roman"/>
          <w:sz w:val="24"/>
          <w:szCs w:val="24"/>
          <w:lang w:val="en-IE"/>
        </w:rPr>
        <w:t>Nación</w:t>
      </w:r>
      <w:proofErr w:type="spellEnd"/>
      <w:r w:rsidRPr="004D6FD4">
        <w:rPr>
          <w:rFonts w:ascii="Times New Roman" w:hAnsi="Times New Roman" w:cs="Times New Roman"/>
          <w:sz w:val="24"/>
          <w:szCs w:val="24"/>
          <w:lang w:val="en-IE"/>
        </w:rPr>
        <w:t xml:space="preserve"> and international jurist commissions supported the lawsuit, countering that the right to life is a non-</w:t>
      </w:r>
      <w:proofErr w:type="spellStart"/>
      <w:r w:rsidRPr="004D6FD4">
        <w:rPr>
          <w:rFonts w:ascii="Times New Roman" w:hAnsi="Times New Roman" w:cs="Times New Roman"/>
          <w:sz w:val="24"/>
          <w:szCs w:val="24"/>
          <w:lang w:val="en-IE"/>
        </w:rPr>
        <w:t>derogable</w:t>
      </w:r>
      <w:proofErr w:type="spellEnd"/>
      <w:r w:rsidRPr="004D6FD4">
        <w:rPr>
          <w:rFonts w:ascii="Times New Roman" w:hAnsi="Times New Roman" w:cs="Times New Roman"/>
          <w:sz w:val="24"/>
          <w:szCs w:val="24"/>
          <w:lang w:val="en-IE"/>
        </w:rPr>
        <w:t xml:space="preserve">, absolute guarantee that cannot be applied selectively based on the perceived lawfulness of a victim's </w:t>
      </w:r>
      <w:proofErr w:type="spellStart"/>
      <w:r w:rsidRPr="004D6FD4">
        <w:rPr>
          <w:rFonts w:ascii="Times New Roman" w:hAnsi="Times New Roman" w:cs="Times New Roman"/>
          <w:sz w:val="24"/>
          <w:szCs w:val="24"/>
          <w:lang w:val="en-IE"/>
        </w:rPr>
        <w:t>behavior</w:t>
      </w:r>
      <w:proofErr w:type="spellEnd"/>
      <w:r w:rsidRPr="004D6FD4">
        <w:rPr>
          <w:rFonts w:ascii="Times New Roman" w:hAnsi="Times New Roman" w:cs="Times New Roman"/>
          <w:sz w:val="24"/>
          <w:szCs w:val="24"/>
          <w:lang w:val="en-IE"/>
        </w:rPr>
        <w:t>.</w:t>
      </w:r>
    </w:p>
    <w:p w14:paraId="06137BA1" w14:textId="77777777" w:rsidR="004D6FD4" w:rsidRPr="004D6FD4" w:rsidRDefault="004D6FD4" w:rsidP="004D6FD4">
      <w:pPr>
        <w:spacing w:line="360" w:lineRule="auto"/>
        <w:jc w:val="both"/>
        <w:rPr>
          <w:rFonts w:ascii="Times New Roman" w:hAnsi="Times New Roman" w:cs="Times New Roman"/>
          <w:sz w:val="24"/>
          <w:szCs w:val="24"/>
          <w:lang w:val="en-IE"/>
        </w:rPr>
      </w:pPr>
      <w:r w:rsidRPr="004D6FD4">
        <w:rPr>
          <w:rFonts w:ascii="Times New Roman" w:hAnsi="Times New Roman" w:cs="Times New Roman"/>
          <w:sz w:val="24"/>
          <w:szCs w:val="24"/>
          <w:lang w:val="en-IE"/>
        </w:rPr>
        <w:t>Regarding the preliminary matters, the Constitutional Court ("the Court") first addressed a procedural motion by the Ministry of Justice seeking an inhibitive dismissal on the grounds that the plaintiff's lawsuit was legally insufficient and inept. The Court rejected this motion, ruling that even an elementary or straightforward argument is fully admissible if it clearly and layout-wise exposes an inherent constitutional problem of unequal treatment stemming directly from the enacted text. Consequently, the Court affirmed its jurisdiction to review the substantive merits of the provision against the higher mandate of the Constitution.</w:t>
      </w:r>
    </w:p>
    <w:p w14:paraId="347A7C4C" w14:textId="77777777" w:rsidR="004D6FD4" w:rsidRPr="004D6FD4" w:rsidRDefault="004D6FD4" w:rsidP="004D6FD4">
      <w:pPr>
        <w:spacing w:line="360" w:lineRule="auto"/>
        <w:jc w:val="both"/>
        <w:rPr>
          <w:rFonts w:ascii="Times New Roman" w:hAnsi="Times New Roman" w:cs="Times New Roman"/>
          <w:sz w:val="24"/>
          <w:szCs w:val="24"/>
          <w:lang w:val="en-IE"/>
        </w:rPr>
      </w:pPr>
      <w:r w:rsidRPr="004D6FD4">
        <w:rPr>
          <w:rFonts w:ascii="Times New Roman" w:hAnsi="Times New Roman" w:cs="Times New Roman"/>
          <w:sz w:val="24"/>
          <w:szCs w:val="24"/>
          <w:lang w:val="en-IE"/>
        </w:rPr>
        <w:lastRenderedPageBreak/>
        <w:t>Substantively, the Court examined the definition and evolution of genocide within the broader framework of International Human Rights Law and International Humanitarian Law. It observed that international obligations, such as the 1948 Genocide Convention, are seamlessly integrated into the domestic framework through the "</w:t>
      </w:r>
      <w:proofErr w:type="spellStart"/>
      <w:r w:rsidRPr="004D6FD4">
        <w:rPr>
          <w:rFonts w:ascii="Times New Roman" w:hAnsi="Times New Roman" w:cs="Times New Roman"/>
          <w:sz w:val="24"/>
          <w:szCs w:val="24"/>
          <w:lang w:val="en-IE"/>
        </w:rPr>
        <w:t>bloque</w:t>
      </w:r>
      <w:proofErr w:type="spellEnd"/>
      <w:r w:rsidRPr="004D6FD4">
        <w:rPr>
          <w:rFonts w:ascii="Times New Roman" w:hAnsi="Times New Roman" w:cs="Times New Roman"/>
          <w:sz w:val="24"/>
          <w:szCs w:val="24"/>
          <w:lang w:val="en-IE"/>
        </w:rPr>
        <w:t xml:space="preserve"> de </w:t>
      </w:r>
      <w:proofErr w:type="spellStart"/>
      <w:r w:rsidRPr="004D6FD4">
        <w:rPr>
          <w:rFonts w:ascii="Times New Roman" w:hAnsi="Times New Roman" w:cs="Times New Roman"/>
          <w:sz w:val="24"/>
          <w:szCs w:val="24"/>
          <w:lang w:val="en-IE"/>
        </w:rPr>
        <w:t>constitucionalidad</w:t>
      </w:r>
      <w:proofErr w:type="spellEnd"/>
      <w:r w:rsidRPr="004D6FD4">
        <w:rPr>
          <w:rFonts w:ascii="Times New Roman" w:hAnsi="Times New Roman" w:cs="Times New Roman"/>
          <w:sz w:val="24"/>
          <w:szCs w:val="24"/>
          <w:lang w:val="en-IE"/>
        </w:rPr>
        <w:t>" (constitutional bloc). The Court emphasized that the prohibition of genocide constitutes a peremptory norm of international law (</w:t>
      </w:r>
      <w:r w:rsidRPr="004D6FD4">
        <w:rPr>
          <w:rFonts w:ascii="Times New Roman" w:hAnsi="Times New Roman" w:cs="Times New Roman"/>
          <w:i/>
          <w:iCs/>
          <w:sz w:val="24"/>
          <w:szCs w:val="24"/>
          <w:lang w:val="en-IE"/>
        </w:rPr>
        <w:t>ius cogens</w:t>
      </w:r>
      <w:r w:rsidRPr="004D6FD4">
        <w:rPr>
          <w:rFonts w:ascii="Times New Roman" w:hAnsi="Times New Roman" w:cs="Times New Roman"/>
          <w:sz w:val="24"/>
          <w:szCs w:val="24"/>
          <w:lang w:val="en-IE"/>
        </w:rPr>
        <w:t xml:space="preserve">), meaning its protective parameters are universal, absolute, and fundamentally independent of a targeted group's domestic legal status or </w:t>
      </w:r>
      <w:proofErr w:type="spellStart"/>
      <w:r w:rsidRPr="004D6FD4">
        <w:rPr>
          <w:rFonts w:ascii="Times New Roman" w:hAnsi="Times New Roman" w:cs="Times New Roman"/>
          <w:sz w:val="24"/>
          <w:szCs w:val="24"/>
          <w:lang w:val="en-IE"/>
        </w:rPr>
        <w:t>behavioral</w:t>
      </w:r>
      <w:proofErr w:type="spellEnd"/>
      <w:r w:rsidRPr="004D6FD4">
        <w:rPr>
          <w:rFonts w:ascii="Times New Roman" w:hAnsi="Times New Roman" w:cs="Times New Roman"/>
          <w:sz w:val="24"/>
          <w:szCs w:val="24"/>
          <w:lang w:val="en-IE"/>
        </w:rPr>
        <w:t xml:space="preserve"> compliance.</w:t>
      </w:r>
    </w:p>
    <w:p w14:paraId="59FF3AE9" w14:textId="4DD8AE03" w:rsidR="004D6FD4" w:rsidRPr="004D6FD4" w:rsidRDefault="004D6FD4" w:rsidP="004D6FD4">
      <w:pPr>
        <w:spacing w:line="360" w:lineRule="auto"/>
        <w:jc w:val="both"/>
        <w:rPr>
          <w:rFonts w:ascii="Times New Roman" w:hAnsi="Times New Roman" w:cs="Times New Roman"/>
          <w:sz w:val="24"/>
          <w:szCs w:val="24"/>
          <w:lang w:val="en-IE"/>
        </w:rPr>
      </w:pPr>
      <w:r w:rsidRPr="004D6FD4">
        <w:rPr>
          <w:rFonts w:ascii="Times New Roman" w:hAnsi="Times New Roman" w:cs="Times New Roman"/>
          <w:sz w:val="24"/>
          <w:szCs w:val="24"/>
          <w:lang w:val="en-IE"/>
        </w:rPr>
        <w:t>Finally, the Court evaluated the core constitutional principles of human dignity, equality, and the absolute inviolability of the right to life</w:t>
      </w:r>
      <w:r>
        <w:rPr>
          <w:rFonts w:ascii="Times New Roman" w:hAnsi="Times New Roman" w:cs="Times New Roman"/>
          <w:sz w:val="24"/>
          <w:szCs w:val="24"/>
          <w:lang w:val="en-IE"/>
        </w:rPr>
        <w:t xml:space="preserve"> as well as the principle of </w:t>
      </w:r>
      <w:proofErr w:type="spellStart"/>
      <w:r w:rsidRPr="004D6FD4">
        <w:rPr>
          <w:rFonts w:ascii="Times New Roman" w:hAnsi="Times New Roman" w:cs="Times New Roman"/>
          <w:i/>
          <w:iCs/>
          <w:sz w:val="24"/>
          <w:szCs w:val="24"/>
          <w:lang w:val="en-IE"/>
        </w:rPr>
        <w:t>nullum</w:t>
      </w:r>
      <w:proofErr w:type="spellEnd"/>
      <w:r w:rsidRPr="004D6FD4">
        <w:rPr>
          <w:rFonts w:ascii="Times New Roman" w:hAnsi="Times New Roman" w:cs="Times New Roman"/>
          <w:i/>
          <w:iCs/>
          <w:sz w:val="24"/>
          <w:szCs w:val="24"/>
          <w:lang w:val="en-IE"/>
        </w:rPr>
        <w:t xml:space="preserve"> crimen, </w:t>
      </w:r>
      <w:proofErr w:type="spellStart"/>
      <w:r w:rsidRPr="004D6FD4">
        <w:rPr>
          <w:rFonts w:ascii="Times New Roman" w:hAnsi="Times New Roman" w:cs="Times New Roman"/>
          <w:i/>
          <w:iCs/>
          <w:sz w:val="24"/>
          <w:szCs w:val="24"/>
          <w:lang w:val="en-IE"/>
        </w:rPr>
        <w:t>nulla</w:t>
      </w:r>
      <w:proofErr w:type="spellEnd"/>
      <w:r w:rsidRPr="004D6FD4">
        <w:rPr>
          <w:rFonts w:ascii="Times New Roman" w:hAnsi="Times New Roman" w:cs="Times New Roman"/>
          <w:i/>
          <w:iCs/>
          <w:sz w:val="24"/>
          <w:szCs w:val="24"/>
          <w:lang w:val="en-IE"/>
        </w:rPr>
        <w:t xml:space="preserve"> </w:t>
      </w:r>
      <w:proofErr w:type="spellStart"/>
      <w:r w:rsidRPr="004D6FD4">
        <w:rPr>
          <w:rFonts w:ascii="Times New Roman" w:hAnsi="Times New Roman" w:cs="Times New Roman"/>
          <w:i/>
          <w:iCs/>
          <w:sz w:val="24"/>
          <w:szCs w:val="24"/>
          <w:lang w:val="en-IE"/>
        </w:rPr>
        <w:t>poena</w:t>
      </w:r>
      <w:proofErr w:type="spellEnd"/>
      <w:r w:rsidRPr="004D6FD4">
        <w:rPr>
          <w:rFonts w:ascii="Times New Roman" w:hAnsi="Times New Roman" w:cs="Times New Roman"/>
          <w:i/>
          <w:iCs/>
          <w:sz w:val="24"/>
          <w:szCs w:val="24"/>
          <w:lang w:val="en-IE"/>
        </w:rPr>
        <w:t xml:space="preserve">, sine </w:t>
      </w:r>
      <w:proofErr w:type="spellStart"/>
      <w:r w:rsidRPr="004D6FD4">
        <w:rPr>
          <w:rFonts w:ascii="Times New Roman" w:hAnsi="Times New Roman" w:cs="Times New Roman"/>
          <w:i/>
          <w:iCs/>
          <w:sz w:val="24"/>
          <w:szCs w:val="24"/>
          <w:lang w:val="en-IE"/>
        </w:rPr>
        <w:t>lege</w:t>
      </w:r>
      <w:proofErr w:type="spellEnd"/>
      <w:r w:rsidRPr="004D6FD4">
        <w:rPr>
          <w:rFonts w:ascii="Times New Roman" w:hAnsi="Times New Roman" w:cs="Times New Roman"/>
          <w:i/>
          <w:iCs/>
          <w:sz w:val="24"/>
          <w:szCs w:val="24"/>
          <w:lang w:val="en-IE"/>
        </w:rPr>
        <w:t xml:space="preserve"> previa, scripta et </w:t>
      </w:r>
      <w:proofErr w:type="spellStart"/>
      <w:r w:rsidRPr="004D6FD4">
        <w:rPr>
          <w:rFonts w:ascii="Times New Roman" w:hAnsi="Times New Roman" w:cs="Times New Roman"/>
          <w:i/>
          <w:iCs/>
          <w:sz w:val="24"/>
          <w:szCs w:val="24"/>
          <w:lang w:val="en-IE"/>
        </w:rPr>
        <w:t>certa</w:t>
      </w:r>
      <w:proofErr w:type="spellEnd"/>
      <w:r w:rsidRPr="004D6FD4">
        <w:rPr>
          <w:rFonts w:ascii="Times New Roman" w:hAnsi="Times New Roman" w:cs="Times New Roman"/>
          <w:sz w:val="24"/>
          <w:szCs w:val="24"/>
          <w:lang w:val="en-IE"/>
        </w:rPr>
        <w:t>. It held that the state is constitutionally mandated to protect the lives of all individuals within its territory without arbitrary discrimination or selective exclusions. The Court concluded that allowing the legal status of a group to dictate whether its systematic, intentional destruction qualifies as genocide would violate the fundamental principle of equality and create an impermissible loophole for mass atrocities, ultimately declaring the restrictive phrase unconstitutional and striking it from the penal statute.</w:t>
      </w:r>
    </w:p>
    <w:p w14:paraId="705E669C" w14:textId="77777777" w:rsidR="008C2594" w:rsidRPr="004D6FD4" w:rsidRDefault="008C2594" w:rsidP="004D6FD4">
      <w:pPr>
        <w:spacing w:line="360" w:lineRule="auto"/>
        <w:jc w:val="both"/>
        <w:rPr>
          <w:rFonts w:ascii="Times New Roman" w:hAnsi="Times New Roman" w:cs="Times New Roman"/>
          <w:sz w:val="24"/>
          <w:szCs w:val="24"/>
          <w:lang w:val="en-IE"/>
        </w:rPr>
      </w:pPr>
    </w:p>
    <w:sectPr w:rsidR="008C2594" w:rsidRPr="004D6FD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FD4"/>
    <w:rsid w:val="004D6FD4"/>
    <w:rsid w:val="008C2594"/>
    <w:rsid w:val="00AE383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A88CF"/>
  <w15:chartTrackingRefBased/>
  <w15:docId w15:val="{7F7623E0-A429-4D12-8233-8CD0322D7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F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F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F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F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F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F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F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F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F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F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FD4"/>
    <w:rPr>
      <w:rFonts w:eastAsiaTheme="majorEastAsia" w:cstheme="majorBidi"/>
      <w:color w:val="272727" w:themeColor="text1" w:themeTint="D8"/>
    </w:rPr>
  </w:style>
  <w:style w:type="paragraph" w:styleId="Title">
    <w:name w:val="Title"/>
    <w:basedOn w:val="Normal"/>
    <w:next w:val="Normal"/>
    <w:link w:val="TitleChar"/>
    <w:uiPriority w:val="10"/>
    <w:qFormat/>
    <w:rsid w:val="004D6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FD4"/>
    <w:pPr>
      <w:spacing w:before="160"/>
      <w:jc w:val="center"/>
    </w:pPr>
    <w:rPr>
      <w:i/>
      <w:iCs/>
      <w:color w:val="404040" w:themeColor="text1" w:themeTint="BF"/>
    </w:rPr>
  </w:style>
  <w:style w:type="character" w:customStyle="1" w:styleId="QuoteChar">
    <w:name w:val="Quote Char"/>
    <w:basedOn w:val="DefaultParagraphFont"/>
    <w:link w:val="Quote"/>
    <w:uiPriority w:val="29"/>
    <w:rsid w:val="004D6FD4"/>
    <w:rPr>
      <w:i/>
      <w:iCs/>
      <w:color w:val="404040" w:themeColor="text1" w:themeTint="BF"/>
    </w:rPr>
  </w:style>
  <w:style w:type="paragraph" w:styleId="ListParagraph">
    <w:name w:val="List Paragraph"/>
    <w:basedOn w:val="Normal"/>
    <w:uiPriority w:val="34"/>
    <w:qFormat/>
    <w:rsid w:val="004D6FD4"/>
    <w:pPr>
      <w:ind w:left="720"/>
      <w:contextualSpacing/>
    </w:pPr>
  </w:style>
  <w:style w:type="character" w:styleId="IntenseEmphasis">
    <w:name w:val="Intense Emphasis"/>
    <w:basedOn w:val="DefaultParagraphFont"/>
    <w:uiPriority w:val="21"/>
    <w:qFormat/>
    <w:rsid w:val="004D6FD4"/>
    <w:rPr>
      <w:i/>
      <w:iCs/>
      <w:color w:val="2F5496" w:themeColor="accent1" w:themeShade="BF"/>
    </w:rPr>
  </w:style>
  <w:style w:type="paragraph" w:styleId="IntenseQuote">
    <w:name w:val="Intense Quote"/>
    <w:basedOn w:val="Normal"/>
    <w:next w:val="Normal"/>
    <w:link w:val="IntenseQuoteChar"/>
    <w:uiPriority w:val="30"/>
    <w:qFormat/>
    <w:rsid w:val="004D6F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FD4"/>
    <w:rPr>
      <w:i/>
      <w:iCs/>
      <w:color w:val="2F5496" w:themeColor="accent1" w:themeShade="BF"/>
    </w:rPr>
  </w:style>
  <w:style w:type="character" w:styleId="IntenseReference">
    <w:name w:val="Intense Reference"/>
    <w:basedOn w:val="DefaultParagraphFont"/>
    <w:uiPriority w:val="32"/>
    <w:qFormat/>
    <w:rsid w:val="004D6F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570</Words>
  <Characters>3597</Characters>
  <Application>Microsoft Office Word</Application>
  <DocSecurity>0</DocSecurity>
  <Lines>29</Lines>
  <Paragraphs>8</Paragraphs>
  <ScaleCrop>false</ScaleCrop>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Gartner</dc:creator>
  <cp:keywords/>
  <dc:description/>
  <cp:lastModifiedBy>Philipp Gartner</cp:lastModifiedBy>
  <cp:revision>1</cp:revision>
  <dcterms:created xsi:type="dcterms:W3CDTF">2026-05-15T13:12:00Z</dcterms:created>
  <dcterms:modified xsi:type="dcterms:W3CDTF">2026-05-15T13:16:00Z</dcterms:modified>
</cp:coreProperties>
</file>