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5F8BA" w14:textId="7286A7B0" w:rsidR="009C3205" w:rsidRPr="00CF60A5" w:rsidRDefault="009C3205" w:rsidP="00CF60A5">
      <w:pPr>
        <w:spacing w:line="360" w:lineRule="auto"/>
        <w:rPr>
          <w:rFonts w:ascii="Times New Roman" w:hAnsi="Times New Roman" w:cs="Times New Roman"/>
          <w:b/>
          <w:bCs/>
          <w:sz w:val="24"/>
          <w:szCs w:val="24"/>
          <w:lang w:val="en-IE"/>
        </w:rPr>
      </w:pPr>
      <w:r w:rsidRPr="009C3205">
        <w:rPr>
          <w:rFonts w:ascii="Times New Roman" w:hAnsi="Times New Roman" w:cs="Times New Roman"/>
          <w:b/>
          <w:bCs/>
          <w:sz w:val="24"/>
          <w:szCs w:val="24"/>
          <w:lang w:val="en-IE"/>
        </w:rPr>
        <w:t>CLIC Case 0004</w:t>
      </w:r>
      <w:r w:rsidR="00CF60A5">
        <w:rPr>
          <w:rFonts w:ascii="Times New Roman" w:hAnsi="Times New Roman" w:cs="Times New Roman"/>
          <w:b/>
          <w:bCs/>
          <w:sz w:val="24"/>
          <w:szCs w:val="24"/>
          <w:lang w:val="en-IE"/>
        </w:rPr>
        <w:br/>
      </w:r>
      <w:r w:rsidRPr="009C3205">
        <w:rPr>
          <w:rFonts w:ascii="Times New Roman" w:hAnsi="Times New Roman" w:cs="Times New Roman"/>
          <w:b/>
          <w:bCs/>
          <w:sz w:val="24"/>
          <w:szCs w:val="24"/>
          <w:lang w:val="en-IE"/>
        </w:rPr>
        <w:t>Country/Court:</w:t>
      </w:r>
      <w:r w:rsidRPr="009C3205">
        <w:rPr>
          <w:rFonts w:ascii="Times New Roman" w:hAnsi="Times New Roman" w:cs="Times New Roman"/>
          <w:sz w:val="24"/>
          <w:szCs w:val="24"/>
          <w:lang w:val="en-IE"/>
        </w:rPr>
        <w:t xml:space="preserve"> Colombia, Constitutional Court (Corte </w:t>
      </w:r>
      <w:proofErr w:type="spellStart"/>
      <w:r w:rsidRPr="009C3205">
        <w:rPr>
          <w:rFonts w:ascii="Times New Roman" w:hAnsi="Times New Roman" w:cs="Times New Roman"/>
          <w:sz w:val="24"/>
          <w:szCs w:val="24"/>
          <w:lang w:val="en-IE"/>
        </w:rPr>
        <w:t>Constitucional</w:t>
      </w:r>
      <w:proofErr w:type="spellEnd"/>
      <w:r w:rsidRPr="009C3205">
        <w:rPr>
          <w:rFonts w:ascii="Times New Roman" w:hAnsi="Times New Roman" w:cs="Times New Roman"/>
          <w:sz w:val="24"/>
          <w:szCs w:val="24"/>
          <w:lang w:val="en-IE"/>
        </w:rPr>
        <w:t>)</w:t>
      </w:r>
      <w:r w:rsidR="00CF60A5">
        <w:rPr>
          <w:rFonts w:ascii="Times New Roman" w:hAnsi="Times New Roman" w:cs="Times New Roman"/>
          <w:sz w:val="24"/>
          <w:szCs w:val="24"/>
          <w:lang w:val="en-IE"/>
        </w:rPr>
        <w:br/>
      </w:r>
      <w:r w:rsidRPr="009C3205">
        <w:rPr>
          <w:rFonts w:ascii="Times New Roman" w:hAnsi="Times New Roman" w:cs="Times New Roman"/>
          <w:b/>
          <w:bCs/>
          <w:sz w:val="24"/>
          <w:szCs w:val="24"/>
          <w:lang w:val="en-IE"/>
        </w:rPr>
        <w:t>Decision number/date:</w:t>
      </w:r>
      <w:r w:rsidRPr="009C3205">
        <w:rPr>
          <w:rFonts w:ascii="Times New Roman" w:hAnsi="Times New Roman" w:cs="Times New Roman"/>
          <w:sz w:val="24"/>
          <w:szCs w:val="24"/>
          <w:lang w:val="en-IE"/>
        </w:rPr>
        <w:t xml:space="preserve"> </w:t>
      </w:r>
      <w:proofErr w:type="spellStart"/>
      <w:r w:rsidRPr="009C3205">
        <w:rPr>
          <w:rFonts w:ascii="Times New Roman" w:hAnsi="Times New Roman" w:cs="Times New Roman"/>
          <w:sz w:val="24"/>
          <w:szCs w:val="24"/>
          <w:lang w:val="en-IE"/>
        </w:rPr>
        <w:t>Sentencia</w:t>
      </w:r>
      <w:proofErr w:type="spellEnd"/>
      <w:r w:rsidRPr="009C3205">
        <w:rPr>
          <w:rFonts w:ascii="Times New Roman" w:hAnsi="Times New Roman" w:cs="Times New Roman"/>
          <w:sz w:val="24"/>
          <w:szCs w:val="24"/>
          <w:lang w:val="en-IE"/>
        </w:rPr>
        <w:t xml:space="preserve"> C-488 de 2009,</w:t>
      </w:r>
      <w:r w:rsidR="006C6334">
        <w:rPr>
          <w:rFonts w:ascii="Times New Roman" w:hAnsi="Times New Roman" w:cs="Times New Roman"/>
          <w:sz w:val="24"/>
          <w:szCs w:val="24"/>
          <w:lang w:val="en-IE"/>
        </w:rPr>
        <w:t xml:space="preserve"> 2009-07-22</w:t>
      </w:r>
      <w:r w:rsidR="00CF60A5">
        <w:rPr>
          <w:rFonts w:ascii="Times New Roman" w:hAnsi="Times New Roman" w:cs="Times New Roman"/>
          <w:sz w:val="24"/>
          <w:szCs w:val="24"/>
          <w:lang w:val="en-IE"/>
        </w:rPr>
        <w:br/>
      </w:r>
      <w:r w:rsidRPr="009C3205">
        <w:rPr>
          <w:rFonts w:ascii="Times New Roman" w:hAnsi="Times New Roman" w:cs="Times New Roman"/>
          <w:b/>
          <w:bCs/>
          <w:sz w:val="24"/>
          <w:szCs w:val="24"/>
          <w:lang w:val="en-IE"/>
        </w:rPr>
        <w:t>Crime / Issue:</w:t>
      </w:r>
      <w:r w:rsidRPr="009C3205">
        <w:rPr>
          <w:rFonts w:ascii="Times New Roman" w:hAnsi="Times New Roman" w:cs="Times New Roman"/>
          <w:sz w:val="24"/>
          <w:szCs w:val="24"/>
          <w:lang w:val="en-IE"/>
        </w:rPr>
        <w:t xml:space="preserve"> Genocide, Principle of Equality, Principle of Legality, Constitutional Bloc, Legislative Discretion (</w:t>
      </w:r>
      <w:proofErr w:type="spellStart"/>
      <w:r w:rsidRPr="009C3205">
        <w:rPr>
          <w:rFonts w:ascii="Times New Roman" w:hAnsi="Times New Roman" w:cs="Times New Roman"/>
          <w:i/>
          <w:iCs/>
          <w:sz w:val="24"/>
          <w:szCs w:val="24"/>
          <w:lang w:val="en-IE"/>
        </w:rPr>
        <w:t>Margen</w:t>
      </w:r>
      <w:proofErr w:type="spellEnd"/>
      <w:r w:rsidRPr="009C3205">
        <w:rPr>
          <w:rFonts w:ascii="Times New Roman" w:hAnsi="Times New Roman" w:cs="Times New Roman"/>
          <w:i/>
          <w:iCs/>
          <w:sz w:val="24"/>
          <w:szCs w:val="24"/>
          <w:lang w:val="en-IE"/>
        </w:rPr>
        <w:t xml:space="preserve"> de </w:t>
      </w:r>
      <w:proofErr w:type="spellStart"/>
      <w:r w:rsidRPr="009C3205">
        <w:rPr>
          <w:rFonts w:ascii="Times New Roman" w:hAnsi="Times New Roman" w:cs="Times New Roman"/>
          <w:i/>
          <w:iCs/>
          <w:sz w:val="24"/>
          <w:szCs w:val="24"/>
          <w:lang w:val="en-IE"/>
        </w:rPr>
        <w:t>Configuración</w:t>
      </w:r>
      <w:proofErr w:type="spellEnd"/>
      <w:r w:rsidRPr="009C3205">
        <w:rPr>
          <w:rFonts w:ascii="Times New Roman" w:hAnsi="Times New Roman" w:cs="Times New Roman"/>
          <w:sz w:val="24"/>
          <w:szCs w:val="24"/>
          <w:lang w:val="en-IE"/>
        </w:rPr>
        <w:t>)</w:t>
      </w:r>
      <w:r w:rsidR="00CF60A5">
        <w:rPr>
          <w:rFonts w:ascii="Times New Roman" w:hAnsi="Times New Roman" w:cs="Times New Roman"/>
          <w:sz w:val="24"/>
          <w:szCs w:val="24"/>
          <w:lang w:val="en-IE"/>
        </w:rPr>
        <w:br/>
      </w:r>
      <w:r w:rsidRPr="009C3205">
        <w:rPr>
          <w:rFonts w:ascii="Times New Roman" w:hAnsi="Times New Roman" w:cs="Times New Roman"/>
          <w:b/>
          <w:bCs/>
          <w:sz w:val="24"/>
          <w:szCs w:val="24"/>
          <w:lang w:val="en-IE"/>
        </w:rPr>
        <w:t>Abstract prepared by:</w:t>
      </w:r>
      <w:r w:rsidRPr="009C3205">
        <w:rPr>
          <w:rFonts w:ascii="Times New Roman" w:hAnsi="Times New Roman" w:cs="Times New Roman"/>
          <w:sz w:val="24"/>
          <w:szCs w:val="24"/>
          <w:lang w:val="en-IE"/>
        </w:rPr>
        <w:t xml:space="preserve"> </w:t>
      </w:r>
      <w:r w:rsidRPr="009C3205">
        <w:rPr>
          <w:rFonts w:ascii="Times New Roman" w:hAnsi="Times New Roman" w:cs="Times New Roman"/>
          <w:sz w:val="24"/>
          <w:szCs w:val="24"/>
          <w:lang w:val="en-IE"/>
        </w:rPr>
        <w:t>Philipp Gartner</w:t>
      </w:r>
    </w:p>
    <w:p w14:paraId="3C93AB32" w14:textId="3F004F6E" w:rsidR="009C3205" w:rsidRPr="009C3205" w:rsidRDefault="009C3205" w:rsidP="009C3205">
      <w:pPr>
        <w:spacing w:line="360" w:lineRule="auto"/>
        <w:jc w:val="both"/>
        <w:rPr>
          <w:rFonts w:ascii="Times New Roman" w:hAnsi="Times New Roman" w:cs="Times New Roman"/>
          <w:sz w:val="24"/>
          <w:szCs w:val="24"/>
          <w:lang w:val="en-IE"/>
        </w:rPr>
      </w:pPr>
      <w:r w:rsidRPr="009C3205">
        <w:rPr>
          <w:rFonts w:ascii="Times New Roman" w:hAnsi="Times New Roman" w:cs="Times New Roman"/>
          <w:sz w:val="24"/>
          <w:szCs w:val="24"/>
          <w:lang w:val="en-IE"/>
        </w:rPr>
        <w:t>A public lawsuit of unconstitutionality was filed before the Constitutional Court of Colombia challenging two distinct provisions within Article 101 of the Penal Code (Law 599 of 2000), which codifies the domestic crime of genocide. First, the plaintiff challenged the expression "by reason of their membership in the group" (</w:t>
      </w:r>
      <w:proofErr w:type="spellStart"/>
      <w:r w:rsidRPr="009C3205">
        <w:rPr>
          <w:rFonts w:ascii="Times New Roman" w:hAnsi="Times New Roman" w:cs="Times New Roman"/>
          <w:i/>
          <w:iCs/>
          <w:sz w:val="24"/>
          <w:szCs w:val="24"/>
          <w:lang w:val="en-IE"/>
        </w:rPr>
        <w:t>por</w:t>
      </w:r>
      <w:proofErr w:type="spellEnd"/>
      <w:r w:rsidRPr="009C3205">
        <w:rPr>
          <w:rFonts w:ascii="Times New Roman" w:hAnsi="Times New Roman" w:cs="Times New Roman"/>
          <w:i/>
          <w:iCs/>
          <w:sz w:val="24"/>
          <w:szCs w:val="24"/>
          <w:lang w:val="en-IE"/>
        </w:rPr>
        <w:t xml:space="preserve"> </w:t>
      </w:r>
      <w:proofErr w:type="spellStart"/>
      <w:r w:rsidRPr="009C3205">
        <w:rPr>
          <w:rFonts w:ascii="Times New Roman" w:hAnsi="Times New Roman" w:cs="Times New Roman"/>
          <w:i/>
          <w:iCs/>
          <w:sz w:val="24"/>
          <w:szCs w:val="24"/>
          <w:lang w:val="en-IE"/>
        </w:rPr>
        <w:t>razón</w:t>
      </w:r>
      <w:proofErr w:type="spellEnd"/>
      <w:r w:rsidRPr="009C3205">
        <w:rPr>
          <w:rFonts w:ascii="Times New Roman" w:hAnsi="Times New Roman" w:cs="Times New Roman"/>
          <w:i/>
          <w:iCs/>
          <w:sz w:val="24"/>
          <w:szCs w:val="24"/>
          <w:lang w:val="en-IE"/>
        </w:rPr>
        <w:t xml:space="preserve"> de </w:t>
      </w:r>
      <w:proofErr w:type="spellStart"/>
      <w:r w:rsidRPr="009C3205">
        <w:rPr>
          <w:rFonts w:ascii="Times New Roman" w:hAnsi="Times New Roman" w:cs="Times New Roman"/>
          <w:i/>
          <w:iCs/>
          <w:sz w:val="24"/>
          <w:szCs w:val="24"/>
          <w:lang w:val="en-IE"/>
        </w:rPr>
        <w:t>su</w:t>
      </w:r>
      <w:proofErr w:type="spellEnd"/>
      <w:r w:rsidRPr="009C3205">
        <w:rPr>
          <w:rFonts w:ascii="Times New Roman" w:hAnsi="Times New Roman" w:cs="Times New Roman"/>
          <w:i/>
          <w:iCs/>
          <w:sz w:val="24"/>
          <w:szCs w:val="24"/>
          <w:lang w:val="en-IE"/>
        </w:rPr>
        <w:t xml:space="preserve"> </w:t>
      </w:r>
      <w:proofErr w:type="spellStart"/>
      <w:r w:rsidRPr="009C3205">
        <w:rPr>
          <w:rFonts w:ascii="Times New Roman" w:hAnsi="Times New Roman" w:cs="Times New Roman"/>
          <w:i/>
          <w:iCs/>
          <w:sz w:val="24"/>
          <w:szCs w:val="24"/>
          <w:lang w:val="en-IE"/>
        </w:rPr>
        <w:t>pertenencia</w:t>
      </w:r>
      <w:proofErr w:type="spellEnd"/>
      <w:r w:rsidRPr="009C3205">
        <w:rPr>
          <w:rFonts w:ascii="Times New Roman" w:hAnsi="Times New Roman" w:cs="Times New Roman"/>
          <w:i/>
          <w:iCs/>
          <w:sz w:val="24"/>
          <w:szCs w:val="24"/>
          <w:lang w:val="en-IE"/>
        </w:rPr>
        <w:t xml:space="preserve"> al </w:t>
      </w:r>
      <w:proofErr w:type="spellStart"/>
      <w:r w:rsidRPr="009C3205">
        <w:rPr>
          <w:rFonts w:ascii="Times New Roman" w:hAnsi="Times New Roman" w:cs="Times New Roman"/>
          <w:i/>
          <w:iCs/>
          <w:sz w:val="24"/>
          <w:szCs w:val="24"/>
          <w:lang w:val="en-IE"/>
        </w:rPr>
        <w:t>mismo</w:t>
      </w:r>
      <w:proofErr w:type="spellEnd"/>
      <w:r w:rsidRPr="009C3205">
        <w:rPr>
          <w:rFonts w:ascii="Times New Roman" w:hAnsi="Times New Roman" w:cs="Times New Roman"/>
          <w:sz w:val="24"/>
          <w:szCs w:val="24"/>
          <w:lang w:val="en-IE"/>
        </w:rPr>
        <w:t>), arguing that it added an unauthorized subjective motive that imposed a regressive and nearly impossible evidentiary burden on victims and prosecutors, contrary to international standards like the 1948 Genocide Convention and the Rome Statute. Second, he challenged the article's second paragraph, which established a lower penalty scale (10 to 25 years of imprisonment) for non-lethal genocidal acts</w:t>
      </w:r>
      <w:r>
        <w:rPr>
          <w:rFonts w:ascii="Times New Roman" w:hAnsi="Times New Roman" w:cs="Times New Roman"/>
          <w:sz w:val="24"/>
          <w:szCs w:val="24"/>
          <w:lang w:val="en-IE"/>
        </w:rPr>
        <w:t xml:space="preserve"> - </w:t>
      </w:r>
      <w:r w:rsidRPr="009C3205">
        <w:rPr>
          <w:rFonts w:ascii="Times New Roman" w:hAnsi="Times New Roman" w:cs="Times New Roman"/>
          <w:sz w:val="24"/>
          <w:szCs w:val="24"/>
          <w:lang w:val="en-IE"/>
        </w:rPr>
        <w:t>such as forced pregnancy, preventing births, and the forced transfer of children</w:t>
      </w:r>
      <w:r>
        <w:rPr>
          <w:rFonts w:ascii="Times New Roman" w:hAnsi="Times New Roman" w:cs="Times New Roman"/>
          <w:sz w:val="24"/>
          <w:szCs w:val="24"/>
          <w:lang w:val="en-IE"/>
        </w:rPr>
        <w:t xml:space="preserve"> - </w:t>
      </w:r>
      <w:r w:rsidRPr="009C3205">
        <w:rPr>
          <w:rFonts w:ascii="Times New Roman" w:hAnsi="Times New Roman" w:cs="Times New Roman"/>
          <w:sz w:val="24"/>
          <w:szCs w:val="24"/>
          <w:lang w:val="en-IE"/>
        </w:rPr>
        <w:t xml:space="preserve">compared to genocide committed through killing (30 to 40 years). The plaintiff contended that because genocide fundamentally protects the </w:t>
      </w:r>
      <w:r w:rsidRPr="009C3205">
        <w:rPr>
          <w:rFonts w:ascii="Times New Roman" w:hAnsi="Times New Roman" w:cs="Times New Roman"/>
          <w:i/>
          <w:iCs/>
          <w:sz w:val="24"/>
          <w:szCs w:val="24"/>
          <w:lang w:val="en-IE"/>
        </w:rPr>
        <w:t>right to existence of a human group</w:t>
      </w:r>
      <w:r w:rsidRPr="009C3205">
        <w:rPr>
          <w:rFonts w:ascii="Times New Roman" w:hAnsi="Times New Roman" w:cs="Times New Roman"/>
          <w:sz w:val="24"/>
          <w:szCs w:val="24"/>
          <w:lang w:val="en-IE"/>
        </w:rPr>
        <w:t>, all modalities are equally heinous, and graduating penalties unlawfully treated non-lethal group destruction as an attenuated offense, violating the constitutional bloc and the principle of equality.</w:t>
      </w:r>
    </w:p>
    <w:p w14:paraId="081B7CC7" w14:textId="77777777" w:rsidR="009C3205" w:rsidRPr="009C3205" w:rsidRDefault="009C3205" w:rsidP="009C3205">
      <w:pPr>
        <w:spacing w:line="360" w:lineRule="auto"/>
        <w:jc w:val="both"/>
        <w:rPr>
          <w:rFonts w:ascii="Times New Roman" w:hAnsi="Times New Roman" w:cs="Times New Roman"/>
          <w:sz w:val="24"/>
          <w:szCs w:val="24"/>
          <w:lang w:val="en-IE"/>
        </w:rPr>
      </w:pPr>
      <w:r w:rsidRPr="009C3205">
        <w:rPr>
          <w:rFonts w:ascii="Times New Roman" w:hAnsi="Times New Roman" w:cs="Times New Roman"/>
          <w:sz w:val="24"/>
          <w:szCs w:val="24"/>
          <w:lang w:val="en-IE"/>
        </w:rPr>
        <w:t xml:space="preserve">Opposing arguments and interventions from state institutions, academic bodies, and civil society highlighted contrasting interpretations of international law and legislative power. The Ministry of Interior and Justice defended the entirety of the text, asserting that the intent phrase was an essential volitional element required to guarantee the principle of strict legality and distinguish genocide from ordinary homicides, and that differential sentencing properly reflected the unique gravity of extinguishing individual human life. The </w:t>
      </w:r>
      <w:proofErr w:type="spellStart"/>
      <w:r w:rsidRPr="009C3205">
        <w:rPr>
          <w:rFonts w:ascii="Times New Roman" w:hAnsi="Times New Roman" w:cs="Times New Roman"/>
          <w:sz w:val="24"/>
          <w:szCs w:val="24"/>
          <w:lang w:val="en-IE"/>
        </w:rPr>
        <w:t>Procurador</w:t>
      </w:r>
      <w:proofErr w:type="spellEnd"/>
      <w:r w:rsidRPr="009C3205">
        <w:rPr>
          <w:rFonts w:ascii="Times New Roman" w:hAnsi="Times New Roman" w:cs="Times New Roman"/>
          <w:sz w:val="24"/>
          <w:szCs w:val="24"/>
          <w:lang w:val="en-IE"/>
        </w:rPr>
        <w:t xml:space="preserve"> General de la </w:t>
      </w:r>
      <w:proofErr w:type="spellStart"/>
      <w:r w:rsidRPr="009C3205">
        <w:rPr>
          <w:rFonts w:ascii="Times New Roman" w:hAnsi="Times New Roman" w:cs="Times New Roman"/>
          <w:sz w:val="24"/>
          <w:szCs w:val="24"/>
          <w:lang w:val="en-IE"/>
        </w:rPr>
        <w:t>Nación</w:t>
      </w:r>
      <w:proofErr w:type="spellEnd"/>
      <w:r w:rsidRPr="009C3205">
        <w:rPr>
          <w:rFonts w:ascii="Times New Roman" w:hAnsi="Times New Roman" w:cs="Times New Roman"/>
          <w:sz w:val="24"/>
          <w:szCs w:val="24"/>
          <w:lang w:val="en-IE"/>
        </w:rPr>
        <w:t xml:space="preserve"> and the Colombian Commission of Jurists split their positions; they argued that the intent phrase was constitutional because it mirrored the international requirement that a group be targeted "as such," but they maintained that the lower penalty scale for non-lethal acts was unconstitutional because international law does not differentiate between the gravity of distinct genocidal methods. Conversely, academic experts from the Universidad del Rosario supported the lawsuit entirely, viewing both provisions as impermissible rollbacks of international protective standards.</w:t>
      </w:r>
    </w:p>
    <w:p w14:paraId="218E8914" w14:textId="77777777" w:rsidR="009C3205" w:rsidRPr="009C3205" w:rsidRDefault="009C3205" w:rsidP="009C3205">
      <w:pPr>
        <w:spacing w:line="360" w:lineRule="auto"/>
        <w:jc w:val="both"/>
        <w:rPr>
          <w:rFonts w:ascii="Times New Roman" w:hAnsi="Times New Roman" w:cs="Times New Roman"/>
          <w:sz w:val="24"/>
          <w:szCs w:val="24"/>
          <w:lang w:val="en-IE"/>
        </w:rPr>
      </w:pPr>
      <w:r w:rsidRPr="009C3205">
        <w:rPr>
          <w:rFonts w:ascii="Times New Roman" w:hAnsi="Times New Roman" w:cs="Times New Roman"/>
          <w:sz w:val="24"/>
          <w:szCs w:val="24"/>
          <w:lang w:val="en-IE"/>
        </w:rPr>
        <w:lastRenderedPageBreak/>
        <w:t>The Constitutional Court first affirmed its jurisdiction under Article 241 of the Political Constitution and framed the primary legal issues around the scope and limits of the legislature's broad margin of configuration (</w:t>
      </w:r>
      <w:proofErr w:type="spellStart"/>
      <w:r w:rsidRPr="009C3205">
        <w:rPr>
          <w:rFonts w:ascii="Times New Roman" w:hAnsi="Times New Roman" w:cs="Times New Roman"/>
          <w:i/>
          <w:iCs/>
          <w:sz w:val="24"/>
          <w:szCs w:val="24"/>
          <w:lang w:val="en-IE"/>
        </w:rPr>
        <w:t>margen</w:t>
      </w:r>
      <w:proofErr w:type="spellEnd"/>
      <w:r w:rsidRPr="009C3205">
        <w:rPr>
          <w:rFonts w:ascii="Times New Roman" w:hAnsi="Times New Roman" w:cs="Times New Roman"/>
          <w:i/>
          <w:iCs/>
          <w:sz w:val="24"/>
          <w:szCs w:val="24"/>
          <w:lang w:val="en-IE"/>
        </w:rPr>
        <w:t xml:space="preserve"> de </w:t>
      </w:r>
      <w:proofErr w:type="spellStart"/>
      <w:r w:rsidRPr="009C3205">
        <w:rPr>
          <w:rFonts w:ascii="Times New Roman" w:hAnsi="Times New Roman" w:cs="Times New Roman"/>
          <w:i/>
          <w:iCs/>
          <w:sz w:val="24"/>
          <w:szCs w:val="24"/>
          <w:lang w:val="en-IE"/>
        </w:rPr>
        <w:t>configuración</w:t>
      </w:r>
      <w:proofErr w:type="spellEnd"/>
      <w:r w:rsidRPr="009C3205">
        <w:rPr>
          <w:rFonts w:ascii="Times New Roman" w:hAnsi="Times New Roman" w:cs="Times New Roman"/>
          <w:sz w:val="24"/>
          <w:szCs w:val="24"/>
          <w:lang w:val="en-IE"/>
        </w:rPr>
        <w:t xml:space="preserve">) in criminal policy when measured against the </w:t>
      </w:r>
      <w:proofErr w:type="spellStart"/>
      <w:r w:rsidRPr="009C3205">
        <w:rPr>
          <w:rFonts w:ascii="Times New Roman" w:hAnsi="Times New Roman" w:cs="Times New Roman"/>
          <w:i/>
          <w:iCs/>
          <w:sz w:val="24"/>
          <w:szCs w:val="24"/>
          <w:lang w:val="en-IE"/>
        </w:rPr>
        <w:t>bloque</w:t>
      </w:r>
      <w:proofErr w:type="spellEnd"/>
      <w:r w:rsidRPr="009C3205">
        <w:rPr>
          <w:rFonts w:ascii="Times New Roman" w:hAnsi="Times New Roman" w:cs="Times New Roman"/>
          <w:i/>
          <w:iCs/>
          <w:sz w:val="24"/>
          <w:szCs w:val="24"/>
          <w:lang w:val="en-IE"/>
        </w:rPr>
        <w:t xml:space="preserve"> de </w:t>
      </w:r>
      <w:proofErr w:type="spellStart"/>
      <w:r w:rsidRPr="009C3205">
        <w:rPr>
          <w:rFonts w:ascii="Times New Roman" w:hAnsi="Times New Roman" w:cs="Times New Roman"/>
          <w:i/>
          <w:iCs/>
          <w:sz w:val="24"/>
          <w:szCs w:val="24"/>
          <w:lang w:val="en-IE"/>
        </w:rPr>
        <w:t>constitucionalidad</w:t>
      </w:r>
      <w:proofErr w:type="spellEnd"/>
      <w:r w:rsidRPr="009C3205">
        <w:rPr>
          <w:rFonts w:ascii="Times New Roman" w:hAnsi="Times New Roman" w:cs="Times New Roman"/>
          <w:sz w:val="24"/>
          <w:szCs w:val="24"/>
          <w:lang w:val="en-IE"/>
        </w:rPr>
        <w:t xml:space="preserve"> (constitutional bloc). The Court observed that while the Congress possesses expansive democratic authority to define crimes and calibrate penalties, this power is not absolute and must strictly respect non-</w:t>
      </w:r>
      <w:proofErr w:type="spellStart"/>
      <w:r w:rsidRPr="009C3205">
        <w:rPr>
          <w:rFonts w:ascii="Times New Roman" w:hAnsi="Times New Roman" w:cs="Times New Roman"/>
          <w:sz w:val="24"/>
          <w:szCs w:val="24"/>
          <w:lang w:val="en-IE"/>
        </w:rPr>
        <w:t>derogable</w:t>
      </w:r>
      <w:proofErr w:type="spellEnd"/>
      <w:r w:rsidRPr="009C3205">
        <w:rPr>
          <w:rFonts w:ascii="Times New Roman" w:hAnsi="Times New Roman" w:cs="Times New Roman"/>
          <w:sz w:val="24"/>
          <w:szCs w:val="24"/>
          <w:lang w:val="en-IE"/>
        </w:rPr>
        <w:t xml:space="preserve"> human rights obligations and international humanitarian law norms incorporated into the domestic constitutional order.</w:t>
      </w:r>
    </w:p>
    <w:p w14:paraId="742D933D" w14:textId="3F73FB05" w:rsidR="009C3205" w:rsidRPr="009C3205" w:rsidRDefault="009C3205" w:rsidP="009C3205">
      <w:pPr>
        <w:spacing w:line="360" w:lineRule="auto"/>
        <w:jc w:val="both"/>
        <w:rPr>
          <w:rFonts w:ascii="Times New Roman" w:hAnsi="Times New Roman" w:cs="Times New Roman"/>
          <w:sz w:val="24"/>
          <w:szCs w:val="24"/>
          <w:lang w:val="en-IE"/>
        </w:rPr>
      </w:pPr>
      <w:r w:rsidRPr="009C3205">
        <w:rPr>
          <w:rFonts w:ascii="Times New Roman" w:hAnsi="Times New Roman" w:cs="Times New Roman"/>
          <w:sz w:val="24"/>
          <w:szCs w:val="24"/>
          <w:lang w:val="en-IE"/>
        </w:rPr>
        <w:t>Regarding the first challenge, the Court declared the phrase "by reason of their membership in the group" constitutional (</w:t>
      </w:r>
      <w:proofErr w:type="spellStart"/>
      <w:r w:rsidRPr="009C3205">
        <w:rPr>
          <w:rFonts w:ascii="Times New Roman" w:hAnsi="Times New Roman" w:cs="Times New Roman"/>
          <w:i/>
          <w:iCs/>
          <w:sz w:val="24"/>
          <w:szCs w:val="24"/>
          <w:lang w:val="en-IE"/>
        </w:rPr>
        <w:t>exequible</w:t>
      </w:r>
      <w:proofErr w:type="spellEnd"/>
      <w:r w:rsidRPr="009C3205">
        <w:rPr>
          <w:rFonts w:ascii="Times New Roman" w:hAnsi="Times New Roman" w:cs="Times New Roman"/>
          <w:sz w:val="24"/>
          <w:szCs w:val="24"/>
          <w:lang w:val="en-IE"/>
        </w:rPr>
        <w:t>). It reasoned that this language did not place an unconstitutional or regressive hurdle on the administration of justice. Instead, the Court held that the phrase acts as a necessary subjective normative ingredient that properly mirrors the standard found in international treaties</w:t>
      </w:r>
      <w:r>
        <w:rPr>
          <w:rFonts w:ascii="Times New Roman" w:hAnsi="Times New Roman" w:cs="Times New Roman"/>
          <w:sz w:val="24"/>
          <w:szCs w:val="24"/>
          <w:lang w:val="en-IE"/>
        </w:rPr>
        <w:t xml:space="preserve"> - </w:t>
      </w:r>
      <w:r w:rsidRPr="009C3205">
        <w:rPr>
          <w:rFonts w:ascii="Times New Roman" w:hAnsi="Times New Roman" w:cs="Times New Roman"/>
          <w:sz w:val="24"/>
          <w:szCs w:val="24"/>
          <w:lang w:val="en-IE"/>
        </w:rPr>
        <w:t>specifically the words "as such" used in the 1948 Genocide Convention and the Rome Statute. This element ensures compliance with the principle of strict legal certainty by clearly defining the specific intent (</w:t>
      </w:r>
      <w:r w:rsidRPr="009C3205">
        <w:rPr>
          <w:rFonts w:ascii="Times New Roman" w:hAnsi="Times New Roman" w:cs="Times New Roman"/>
          <w:i/>
          <w:iCs/>
          <w:sz w:val="24"/>
          <w:szCs w:val="24"/>
          <w:lang w:val="en-IE"/>
        </w:rPr>
        <w:t xml:space="preserve">dolus </w:t>
      </w:r>
      <w:proofErr w:type="spellStart"/>
      <w:r w:rsidRPr="009C3205">
        <w:rPr>
          <w:rFonts w:ascii="Times New Roman" w:hAnsi="Times New Roman" w:cs="Times New Roman"/>
          <w:i/>
          <w:iCs/>
          <w:sz w:val="24"/>
          <w:szCs w:val="24"/>
          <w:lang w:val="en-IE"/>
        </w:rPr>
        <w:t>specialis</w:t>
      </w:r>
      <w:proofErr w:type="spellEnd"/>
      <w:r w:rsidRPr="009C3205">
        <w:rPr>
          <w:rFonts w:ascii="Times New Roman" w:hAnsi="Times New Roman" w:cs="Times New Roman"/>
          <w:sz w:val="24"/>
          <w:szCs w:val="24"/>
          <w:lang w:val="en-IE"/>
        </w:rPr>
        <w:t>) required to differentiate systemic group destruction from ordinary domestic offenses.</w:t>
      </w:r>
    </w:p>
    <w:p w14:paraId="1376763C" w14:textId="77777777" w:rsidR="009C3205" w:rsidRPr="009C3205" w:rsidRDefault="009C3205" w:rsidP="009C3205">
      <w:pPr>
        <w:spacing w:line="360" w:lineRule="auto"/>
        <w:jc w:val="both"/>
        <w:rPr>
          <w:rFonts w:ascii="Times New Roman" w:hAnsi="Times New Roman" w:cs="Times New Roman"/>
          <w:sz w:val="24"/>
          <w:szCs w:val="24"/>
          <w:lang w:val="en-IE"/>
        </w:rPr>
      </w:pPr>
      <w:r w:rsidRPr="009C3205">
        <w:rPr>
          <w:rFonts w:ascii="Times New Roman" w:hAnsi="Times New Roman" w:cs="Times New Roman"/>
          <w:sz w:val="24"/>
          <w:szCs w:val="24"/>
          <w:lang w:val="en-IE"/>
        </w:rPr>
        <w:t>Regarding the second challenge, the Court also declared the differential sentencing structure constitutional (</w:t>
      </w:r>
      <w:proofErr w:type="spellStart"/>
      <w:r w:rsidRPr="009C3205">
        <w:rPr>
          <w:rFonts w:ascii="Times New Roman" w:hAnsi="Times New Roman" w:cs="Times New Roman"/>
          <w:i/>
          <w:iCs/>
          <w:sz w:val="24"/>
          <w:szCs w:val="24"/>
          <w:lang w:val="en-IE"/>
        </w:rPr>
        <w:t>exequible</w:t>
      </w:r>
      <w:proofErr w:type="spellEnd"/>
      <w:r w:rsidRPr="009C3205">
        <w:rPr>
          <w:rFonts w:ascii="Times New Roman" w:hAnsi="Times New Roman" w:cs="Times New Roman"/>
          <w:sz w:val="24"/>
          <w:szCs w:val="24"/>
          <w:lang w:val="en-IE"/>
        </w:rPr>
        <w:t>). The Court ruled that although all forms of genocide share the ultimate criminal objective of destroying a protected collective, the legislature is fully empowered to assess varying levels of punitive reproach based on the immediate legal interests (</w:t>
      </w:r>
      <w:proofErr w:type="spellStart"/>
      <w:r w:rsidRPr="009C3205">
        <w:rPr>
          <w:rFonts w:ascii="Times New Roman" w:hAnsi="Times New Roman" w:cs="Times New Roman"/>
          <w:i/>
          <w:iCs/>
          <w:sz w:val="24"/>
          <w:szCs w:val="24"/>
          <w:lang w:val="en-IE"/>
        </w:rPr>
        <w:t>bienes</w:t>
      </w:r>
      <w:proofErr w:type="spellEnd"/>
      <w:r w:rsidRPr="009C3205">
        <w:rPr>
          <w:rFonts w:ascii="Times New Roman" w:hAnsi="Times New Roman" w:cs="Times New Roman"/>
          <w:i/>
          <w:iCs/>
          <w:sz w:val="24"/>
          <w:szCs w:val="24"/>
          <w:lang w:val="en-IE"/>
        </w:rPr>
        <w:t xml:space="preserve"> </w:t>
      </w:r>
      <w:proofErr w:type="spellStart"/>
      <w:r w:rsidRPr="009C3205">
        <w:rPr>
          <w:rFonts w:ascii="Times New Roman" w:hAnsi="Times New Roman" w:cs="Times New Roman"/>
          <w:i/>
          <w:iCs/>
          <w:sz w:val="24"/>
          <w:szCs w:val="24"/>
          <w:lang w:val="en-IE"/>
        </w:rPr>
        <w:t>jurídicos</w:t>
      </w:r>
      <w:proofErr w:type="spellEnd"/>
      <w:r w:rsidRPr="009C3205">
        <w:rPr>
          <w:rFonts w:ascii="Times New Roman" w:hAnsi="Times New Roman" w:cs="Times New Roman"/>
          <w:sz w:val="24"/>
          <w:szCs w:val="24"/>
          <w:lang w:val="en-IE"/>
        </w:rPr>
        <w:t>) affected. Because genocide committed through killing results in the immediate, irreversible destruction of individual human lives alongside the attack on the collective group, the legislature acted within its valid constitutional discretion by assigning it a higher penalty range than non-lethal structural methods, without violating international obligations or constitutional equality.</w:t>
      </w:r>
    </w:p>
    <w:p w14:paraId="2F2AF8ED" w14:textId="77777777" w:rsidR="008C2594" w:rsidRPr="009C3205" w:rsidRDefault="008C2594" w:rsidP="009C3205">
      <w:pPr>
        <w:spacing w:line="360" w:lineRule="auto"/>
        <w:jc w:val="both"/>
        <w:rPr>
          <w:rFonts w:ascii="Times New Roman" w:hAnsi="Times New Roman" w:cs="Times New Roman"/>
          <w:sz w:val="24"/>
          <w:szCs w:val="24"/>
          <w:lang w:val="en-IE"/>
        </w:rPr>
      </w:pPr>
    </w:p>
    <w:sectPr w:rsidR="008C2594" w:rsidRPr="009C320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3205"/>
    <w:rsid w:val="006C6334"/>
    <w:rsid w:val="008C2594"/>
    <w:rsid w:val="009C3205"/>
    <w:rsid w:val="00AE3837"/>
    <w:rsid w:val="00CF60A5"/>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471B7"/>
  <w15:chartTrackingRefBased/>
  <w15:docId w15:val="{980A43D1-6040-4F4B-8A09-7FC90456F3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320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C320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C320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C32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C32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C32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32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32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32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320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C320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C320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C32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C32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C32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32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32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3205"/>
    <w:rPr>
      <w:rFonts w:eastAsiaTheme="majorEastAsia" w:cstheme="majorBidi"/>
      <w:color w:val="272727" w:themeColor="text1" w:themeTint="D8"/>
    </w:rPr>
  </w:style>
  <w:style w:type="paragraph" w:styleId="Title">
    <w:name w:val="Title"/>
    <w:basedOn w:val="Normal"/>
    <w:next w:val="Normal"/>
    <w:link w:val="TitleChar"/>
    <w:uiPriority w:val="10"/>
    <w:qFormat/>
    <w:rsid w:val="009C32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32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32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32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3205"/>
    <w:pPr>
      <w:spacing w:before="160"/>
      <w:jc w:val="center"/>
    </w:pPr>
    <w:rPr>
      <w:i/>
      <w:iCs/>
      <w:color w:val="404040" w:themeColor="text1" w:themeTint="BF"/>
    </w:rPr>
  </w:style>
  <w:style w:type="character" w:customStyle="1" w:styleId="QuoteChar">
    <w:name w:val="Quote Char"/>
    <w:basedOn w:val="DefaultParagraphFont"/>
    <w:link w:val="Quote"/>
    <w:uiPriority w:val="29"/>
    <w:rsid w:val="009C3205"/>
    <w:rPr>
      <w:i/>
      <w:iCs/>
      <w:color w:val="404040" w:themeColor="text1" w:themeTint="BF"/>
    </w:rPr>
  </w:style>
  <w:style w:type="paragraph" w:styleId="ListParagraph">
    <w:name w:val="List Paragraph"/>
    <w:basedOn w:val="Normal"/>
    <w:uiPriority w:val="34"/>
    <w:qFormat/>
    <w:rsid w:val="009C3205"/>
    <w:pPr>
      <w:ind w:left="720"/>
      <w:contextualSpacing/>
    </w:pPr>
  </w:style>
  <w:style w:type="character" w:styleId="IntenseEmphasis">
    <w:name w:val="Intense Emphasis"/>
    <w:basedOn w:val="DefaultParagraphFont"/>
    <w:uiPriority w:val="21"/>
    <w:qFormat/>
    <w:rsid w:val="009C3205"/>
    <w:rPr>
      <w:i/>
      <w:iCs/>
      <w:color w:val="2F5496" w:themeColor="accent1" w:themeShade="BF"/>
    </w:rPr>
  </w:style>
  <w:style w:type="paragraph" w:styleId="IntenseQuote">
    <w:name w:val="Intense Quote"/>
    <w:basedOn w:val="Normal"/>
    <w:next w:val="Normal"/>
    <w:link w:val="IntenseQuoteChar"/>
    <w:uiPriority w:val="30"/>
    <w:qFormat/>
    <w:rsid w:val="009C32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C3205"/>
    <w:rPr>
      <w:i/>
      <w:iCs/>
      <w:color w:val="2F5496" w:themeColor="accent1" w:themeShade="BF"/>
    </w:rPr>
  </w:style>
  <w:style w:type="character" w:styleId="IntenseReference">
    <w:name w:val="Intense Reference"/>
    <w:basedOn w:val="DefaultParagraphFont"/>
    <w:uiPriority w:val="32"/>
    <w:qFormat/>
    <w:rsid w:val="009C32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665</Words>
  <Characters>4193</Characters>
  <Application>Microsoft Office Word</Application>
  <DocSecurity>0</DocSecurity>
  <Lines>34</Lines>
  <Paragraphs>9</Paragraphs>
  <ScaleCrop>false</ScaleCrop>
  <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 Gartner</dc:creator>
  <cp:keywords/>
  <dc:description/>
  <cp:lastModifiedBy>Philipp Gartner</cp:lastModifiedBy>
  <cp:revision>3</cp:revision>
  <cp:lastPrinted>2026-05-15T13:59:00Z</cp:lastPrinted>
  <dcterms:created xsi:type="dcterms:W3CDTF">2026-05-15T13:54:00Z</dcterms:created>
  <dcterms:modified xsi:type="dcterms:W3CDTF">2026-05-15T14:00:00Z</dcterms:modified>
</cp:coreProperties>
</file>