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025DB" w14:textId="60E04435" w:rsidR="00747ACE" w:rsidRPr="000D283B" w:rsidRDefault="00747ACE" w:rsidP="00747ACE">
      <w:pPr>
        <w:spacing w:line="360" w:lineRule="auto"/>
        <w:rPr>
          <w:rFonts w:ascii="Times New Roman" w:hAnsi="Times New Roman" w:cs="Times New Roman"/>
          <w:b/>
          <w:bCs/>
          <w:sz w:val="24"/>
          <w:szCs w:val="24"/>
          <w:lang w:val="en-IE"/>
        </w:rPr>
      </w:pPr>
      <w:r w:rsidRPr="000D283B">
        <w:rPr>
          <w:rFonts w:ascii="Times New Roman" w:hAnsi="Times New Roman" w:cs="Times New Roman"/>
          <w:b/>
          <w:bCs/>
          <w:sz w:val="24"/>
          <w:szCs w:val="24"/>
          <w:lang w:val="en-IE"/>
        </w:rPr>
        <w:t>CLIC Case 000</w:t>
      </w:r>
      <w:r>
        <w:rPr>
          <w:rFonts w:ascii="Times New Roman" w:hAnsi="Times New Roman" w:cs="Times New Roman"/>
          <w:b/>
          <w:bCs/>
          <w:sz w:val="24"/>
          <w:szCs w:val="24"/>
          <w:lang w:val="en-IE"/>
        </w:rPr>
        <w:t>6</w:t>
      </w:r>
      <w:r>
        <w:rPr>
          <w:rFonts w:ascii="Times New Roman" w:hAnsi="Times New Roman" w:cs="Times New Roman"/>
          <w:b/>
          <w:bCs/>
          <w:sz w:val="24"/>
          <w:szCs w:val="24"/>
          <w:lang w:val="en-IE"/>
        </w:rPr>
        <w:br/>
      </w:r>
      <w:r w:rsidRPr="000D283B">
        <w:rPr>
          <w:rFonts w:ascii="Times New Roman" w:hAnsi="Times New Roman" w:cs="Times New Roman"/>
          <w:b/>
          <w:bCs/>
          <w:sz w:val="24"/>
          <w:szCs w:val="24"/>
          <w:lang w:val="en-IE"/>
        </w:rPr>
        <w:t>Country/Court:</w:t>
      </w:r>
      <w:r w:rsidRPr="000D283B">
        <w:rPr>
          <w:rFonts w:ascii="Times New Roman" w:hAnsi="Times New Roman" w:cs="Times New Roman"/>
          <w:sz w:val="24"/>
          <w:szCs w:val="24"/>
          <w:lang w:val="en-IE"/>
        </w:rPr>
        <w:t xml:space="preserve"> </w:t>
      </w:r>
      <w:r>
        <w:rPr>
          <w:rFonts w:ascii="Times New Roman" w:hAnsi="Times New Roman" w:cs="Times New Roman"/>
          <w:sz w:val="24"/>
          <w:szCs w:val="24"/>
          <w:lang w:val="en-IE"/>
        </w:rPr>
        <w:t xml:space="preserve"> United Kingdom of Great Britain and Northen Ireland, House of Lords</w:t>
      </w:r>
      <w:r>
        <w:rPr>
          <w:rFonts w:ascii="Times New Roman" w:hAnsi="Times New Roman" w:cs="Times New Roman"/>
          <w:b/>
          <w:bCs/>
          <w:sz w:val="24"/>
          <w:szCs w:val="24"/>
          <w:lang w:val="en-IE"/>
        </w:rPr>
        <w:br/>
      </w:r>
      <w:r w:rsidRPr="000D283B">
        <w:rPr>
          <w:rFonts w:ascii="Times New Roman" w:hAnsi="Times New Roman" w:cs="Times New Roman"/>
          <w:b/>
          <w:bCs/>
          <w:sz w:val="24"/>
          <w:szCs w:val="24"/>
          <w:lang w:val="en-IE"/>
        </w:rPr>
        <w:t>Decision number/date:</w:t>
      </w:r>
      <w:r w:rsidRPr="000D283B">
        <w:rPr>
          <w:rFonts w:ascii="Times New Roman" w:hAnsi="Times New Roman" w:cs="Times New Roman"/>
          <w:sz w:val="24"/>
          <w:szCs w:val="24"/>
          <w:lang w:val="en-IE"/>
        </w:rPr>
        <w:t xml:space="preserve"> </w:t>
      </w:r>
      <w:r>
        <w:rPr>
          <w:rFonts w:ascii="Times New Roman" w:hAnsi="Times New Roman" w:cs="Times New Roman"/>
          <w:sz w:val="24"/>
          <w:szCs w:val="24"/>
          <w:lang w:val="en-IE"/>
        </w:rPr>
        <w:t xml:space="preserve"> </w:t>
      </w:r>
      <w:r w:rsidRPr="00747ACE">
        <w:rPr>
          <w:rFonts w:ascii="Times New Roman" w:hAnsi="Times New Roman" w:cs="Times New Roman"/>
          <w:sz w:val="24"/>
          <w:szCs w:val="24"/>
          <w:lang w:val="en-IE"/>
        </w:rPr>
        <w:t>[2000] 1 A.C. 147</w:t>
      </w:r>
      <w:r>
        <w:rPr>
          <w:rFonts w:ascii="Times New Roman" w:hAnsi="Times New Roman" w:cs="Times New Roman"/>
          <w:sz w:val="24"/>
          <w:szCs w:val="24"/>
          <w:lang w:val="en-IE"/>
        </w:rPr>
        <w:t>,  1999-01-15</w:t>
      </w:r>
      <w:r>
        <w:rPr>
          <w:rFonts w:ascii="Times New Roman" w:hAnsi="Times New Roman" w:cs="Times New Roman"/>
          <w:b/>
          <w:bCs/>
          <w:sz w:val="24"/>
          <w:szCs w:val="24"/>
          <w:lang w:val="en-IE"/>
        </w:rPr>
        <w:br/>
      </w:r>
      <w:r w:rsidRPr="000D283B">
        <w:rPr>
          <w:rFonts w:ascii="Times New Roman" w:hAnsi="Times New Roman" w:cs="Times New Roman"/>
          <w:b/>
          <w:bCs/>
          <w:sz w:val="24"/>
          <w:szCs w:val="24"/>
          <w:lang w:val="en-IE"/>
        </w:rPr>
        <w:t>Crime / Issue:</w:t>
      </w:r>
      <w:r w:rsidRPr="000D283B">
        <w:rPr>
          <w:rFonts w:ascii="Times New Roman" w:hAnsi="Times New Roman" w:cs="Times New Roman"/>
          <w:sz w:val="24"/>
          <w:szCs w:val="24"/>
          <w:lang w:val="en-IE"/>
        </w:rPr>
        <w:t xml:space="preserve"> </w:t>
      </w:r>
      <w:r>
        <w:rPr>
          <w:rFonts w:ascii="Times New Roman" w:hAnsi="Times New Roman" w:cs="Times New Roman"/>
          <w:sz w:val="24"/>
          <w:szCs w:val="24"/>
          <w:lang w:val="en-IE"/>
        </w:rPr>
        <w:t xml:space="preserve"> Immunities</w:t>
      </w:r>
      <w:r>
        <w:rPr>
          <w:rFonts w:ascii="Times New Roman" w:hAnsi="Times New Roman" w:cs="Times New Roman"/>
          <w:b/>
          <w:bCs/>
          <w:sz w:val="24"/>
          <w:szCs w:val="24"/>
          <w:lang w:val="en-IE"/>
        </w:rPr>
        <w:br/>
      </w:r>
      <w:r w:rsidRPr="000D283B">
        <w:rPr>
          <w:rFonts w:ascii="Times New Roman" w:hAnsi="Times New Roman" w:cs="Times New Roman"/>
          <w:b/>
          <w:bCs/>
          <w:sz w:val="24"/>
          <w:szCs w:val="24"/>
          <w:lang w:val="en-IE"/>
        </w:rPr>
        <w:t xml:space="preserve">Abstract prepared by: </w:t>
      </w:r>
      <w:r>
        <w:rPr>
          <w:rFonts w:ascii="Times New Roman" w:hAnsi="Times New Roman" w:cs="Times New Roman"/>
          <w:sz w:val="24"/>
          <w:szCs w:val="24"/>
          <w:lang w:val="en-IE"/>
        </w:rPr>
        <w:t>Philipp Gartner</w:t>
      </w:r>
    </w:p>
    <w:p w14:paraId="01535EB6" w14:textId="40223061" w:rsidR="008C2594" w:rsidRDefault="00747ACE" w:rsidP="00747ACE">
      <w:pPr>
        <w:spacing w:line="360" w:lineRule="auto"/>
        <w:jc w:val="both"/>
        <w:rPr>
          <w:rFonts w:ascii="Times New Roman" w:hAnsi="Times New Roman" w:cs="Times New Roman"/>
          <w:sz w:val="24"/>
          <w:szCs w:val="24"/>
          <w:lang w:val="en-IE"/>
        </w:rPr>
      </w:pPr>
      <w:r>
        <w:rPr>
          <w:rFonts w:ascii="Times New Roman" w:hAnsi="Times New Roman" w:cs="Times New Roman"/>
          <w:sz w:val="24"/>
          <w:szCs w:val="24"/>
          <w:lang w:val="en-IE"/>
        </w:rPr>
        <w:t xml:space="preserve">Senator Pinochet (“the applicant”) – the former head of state of Chile – was arrested in the United Kingdom upon the execution of a Spanish arrest warrant, alleging charges of </w:t>
      </w:r>
      <w:r>
        <w:rPr>
          <w:rFonts w:ascii="Times New Roman" w:hAnsi="Times New Roman" w:cs="Times New Roman"/>
          <w:i/>
          <w:iCs/>
          <w:sz w:val="24"/>
          <w:szCs w:val="24"/>
          <w:lang w:val="en-IE"/>
        </w:rPr>
        <w:t xml:space="preserve">inter alia </w:t>
      </w:r>
      <w:r>
        <w:rPr>
          <w:rFonts w:ascii="Times New Roman" w:hAnsi="Times New Roman" w:cs="Times New Roman"/>
          <w:sz w:val="24"/>
          <w:szCs w:val="24"/>
          <w:lang w:val="en-IE"/>
        </w:rPr>
        <w:t xml:space="preserve">torture and murder.  The applicant filed a </w:t>
      </w:r>
      <w:r>
        <w:rPr>
          <w:rFonts w:ascii="Times New Roman" w:hAnsi="Times New Roman" w:cs="Times New Roman"/>
          <w:i/>
          <w:iCs/>
          <w:sz w:val="24"/>
          <w:szCs w:val="24"/>
          <w:lang w:val="en-IE"/>
        </w:rPr>
        <w:t xml:space="preserve">habeas corpus </w:t>
      </w:r>
      <w:r w:rsidRPr="00A13314">
        <w:rPr>
          <w:rFonts w:ascii="Times New Roman" w:hAnsi="Times New Roman" w:cs="Times New Roman"/>
          <w:sz w:val="24"/>
          <w:szCs w:val="24"/>
          <w:lang w:val="en-IE"/>
        </w:rPr>
        <w:t>petition</w:t>
      </w:r>
      <w:r>
        <w:rPr>
          <w:rFonts w:ascii="Times New Roman" w:hAnsi="Times New Roman" w:cs="Times New Roman"/>
          <w:i/>
          <w:iCs/>
          <w:sz w:val="24"/>
          <w:szCs w:val="24"/>
          <w:lang w:val="en-IE"/>
        </w:rPr>
        <w:t xml:space="preserve"> </w:t>
      </w:r>
      <w:r>
        <w:rPr>
          <w:rFonts w:ascii="Times New Roman" w:hAnsi="Times New Roman" w:cs="Times New Roman"/>
          <w:sz w:val="24"/>
          <w:szCs w:val="24"/>
          <w:lang w:val="en-IE"/>
        </w:rPr>
        <w:t xml:space="preserve">which was eventually rejected. </w:t>
      </w:r>
      <w:r w:rsidR="00A13314">
        <w:rPr>
          <w:rFonts w:ascii="Times New Roman" w:hAnsi="Times New Roman" w:cs="Times New Roman"/>
          <w:sz w:val="24"/>
          <w:szCs w:val="24"/>
          <w:lang w:val="en-IE"/>
        </w:rPr>
        <w:t>Consequently</w:t>
      </w:r>
      <w:r>
        <w:rPr>
          <w:rFonts w:ascii="Times New Roman" w:hAnsi="Times New Roman" w:cs="Times New Roman"/>
          <w:sz w:val="24"/>
          <w:szCs w:val="24"/>
          <w:lang w:val="en-IE"/>
        </w:rPr>
        <w:t xml:space="preserve">, he appealed to </w:t>
      </w:r>
      <w:r w:rsidR="00A13314">
        <w:rPr>
          <w:rFonts w:ascii="Times New Roman" w:hAnsi="Times New Roman" w:cs="Times New Roman"/>
          <w:sz w:val="24"/>
          <w:szCs w:val="24"/>
          <w:lang w:val="en-IE"/>
        </w:rPr>
        <w:t xml:space="preserve">the </w:t>
      </w:r>
      <w:r>
        <w:rPr>
          <w:rFonts w:ascii="Times New Roman" w:hAnsi="Times New Roman" w:cs="Times New Roman"/>
          <w:sz w:val="24"/>
          <w:szCs w:val="24"/>
          <w:lang w:val="en-IE"/>
        </w:rPr>
        <w:t>House of Lords. The proceedings had to be repeated due to a potential conflict of interest of one of the Law Lords. The present abstract is concerned with th</w:t>
      </w:r>
      <w:r w:rsidR="00C3023B">
        <w:rPr>
          <w:rFonts w:ascii="Times New Roman" w:hAnsi="Times New Roman" w:cs="Times New Roman"/>
          <w:sz w:val="24"/>
          <w:szCs w:val="24"/>
          <w:lang w:val="en-IE"/>
        </w:rPr>
        <w:t xml:space="preserve">is latter </w:t>
      </w:r>
      <w:r>
        <w:rPr>
          <w:rFonts w:ascii="Times New Roman" w:hAnsi="Times New Roman" w:cs="Times New Roman"/>
          <w:sz w:val="24"/>
          <w:szCs w:val="24"/>
          <w:lang w:val="en-IE"/>
        </w:rPr>
        <w:t>judgement.</w:t>
      </w:r>
    </w:p>
    <w:p w14:paraId="360A0C45" w14:textId="23735EF4" w:rsidR="00747ACE" w:rsidRDefault="00747ACE" w:rsidP="00747ACE">
      <w:pPr>
        <w:spacing w:line="360" w:lineRule="auto"/>
        <w:jc w:val="both"/>
        <w:rPr>
          <w:rFonts w:ascii="Times New Roman" w:hAnsi="Times New Roman" w:cs="Times New Roman"/>
          <w:sz w:val="24"/>
          <w:szCs w:val="24"/>
          <w:lang w:val="en-IE"/>
        </w:rPr>
      </w:pPr>
      <w:r>
        <w:rPr>
          <w:rFonts w:ascii="Times New Roman" w:hAnsi="Times New Roman" w:cs="Times New Roman"/>
          <w:sz w:val="24"/>
          <w:szCs w:val="24"/>
          <w:lang w:val="en-IE"/>
        </w:rPr>
        <w:t xml:space="preserve">The applicant argued that he benefited </w:t>
      </w:r>
      <w:r w:rsidR="001A50CA">
        <w:rPr>
          <w:rFonts w:ascii="Times New Roman" w:hAnsi="Times New Roman" w:cs="Times New Roman"/>
          <w:sz w:val="24"/>
          <w:szCs w:val="24"/>
          <w:lang w:val="en-IE"/>
        </w:rPr>
        <w:t xml:space="preserve">from immunity under international </w:t>
      </w:r>
      <w:r w:rsidR="00A13314">
        <w:rPr>
          <w:rFonts w:ascii="Times New Roman" w:hAnsi="Times New Roman" w:cs="Times New Roman"/>
          <w:sz w:val="24"/>
          <w:szCs w:val="24"/>
          <w:lang w:val="en-IE"/>
        </w:rPr>
        <w:t xml:space="preserve">law </w:t>
      </w:r>
      <w:r w:rsidR="001A50CA">
        <w:rPr>
          <w:rFonts w:ascii="Times New Roman" w:hAnsi="Times New Roman" w:cs="Times New Roman"/>
          <w:sz w:val="24"/>
          <w:szCs w:val="24"/>
          <w:lang w:val="en-IE"/>
        </w:rPr>
        <w:t>and could therefore not be extradited to Spain. The Law Lords</w:t>
      </w:r>
      <w:r w:rsidR="000609BE">
        <w:rPr>
          <w:rFonts w:ascii="Times New Roman" w:hAnsi="Times New Roman" w:cs="Times New Roman"/>
          <w:sz w:val="24"/>
          <w:szCs w:val="24"/>
          <w:lang w:val="en-IE"/>
        </w:rPr>
        <w:t xml:space="preserve"> (with </w:t>
      </w:r>
      <w:r w:rsidR="000609BE" w:rsidRPr="00A13314">
        <w:rPr>
          <w:rFonts w:ascii="Times New Roman" w:hAnsi="Times New Roman" w:cs="Times New Roman"/>
          <w:i/>
          <w:iCs/>
          <w:sz w:val="24"/>
          <w:szCs w:val="24"/>
          <w:lang w:val="en-IE"/>
        </w:rPr>
        <w:t>Lord Goff</w:t>
      </w:r>
      <w:r w:rsidR="00916441">
        <w:rPr>
          <w:rFonts w:ascii="Times New Roman" w:hAnsi="Times New Roman" w:cs="Times New Roman"/>
          <w:i/>
          <w:iCs/>
          <w:sz w:val="24"/>
          <w:szCs w:val="24"/>
          <w:lang w:val="en-IE"/>
        </w:rPr>
        <w:t xml:space="preserve"> </w:t>
      </w:r>
      <w:r w:rsidR="00916441" w:rsidRPr="00276FF4">
        <w:rPr>
          <w:rFonts w:ascii="Times New Roman" w:hAnsi="Times New Roman" w:cs="Times New Roman"/>
          <w:i/>
          <w:iCs/>
          <w:sz w:val="24"/>
          <w:szCs w:val="24"/>
          <w:lang w:val="en-IE"/>
        </w:rPr>
        <w:t>of Chieveley</w:t>
      </w:r>
      <w:r w:rsidR="000609BE">
        <w:rPr>
          <w:rFonts w:ascii="Times New Roman" w:hAnsi="Times New Roman" w:cs="Times New Roman"/>
          <w:sz w:val="24"/>
          <w:szCs w:val="24"/>
          <w:lang w:val="en-IE"/>
        </w:rPr>
        <w:t xml:space="preserve"> dissenting)</w:t>
      </w:r>
      <w:r w:rsidR="001A50CA">
        <w:rPr>
          <w:rFonts w:ascii="Times New Roman" w:hAnsi="Times New Roman" w:cs="Times New Roman"/>
          <w:sz w:val="24"/>
          <w:szCs w:val="24"/>
          <w:lang w:val="en-IE"/>
        </w:rPr>
        <w:t xml:space="preserve"> rejected the applicant’s claim but differed in their argumentation which shall be demonstrated below.</w:t>
      </w:r>
    </w:p>
    <w:p w14:paraId="7F3D9DFC" w14:textId="15824240" w:rsidR="001A50CA" w:rsidRDefault="001A50CA" w:rsidP="00747ACE">
      <w:pPr>
        <w:spacing w:line="360" w:lineRule="auto"/>
        <w:jc w:val="both"/>
        <w:rPr>
          <w:rFonts w:ascii="Times New Roman" w:hAnsi="Times New Roman" w:cs="Times New Roman"/>
          <w:sz w:val="24"/>
          <w:szCs w:val="24"/>
          <w:lang w:val="en-IE"/>
        </w:rPr>
      </w:pPr>
      <w:r w:rsidRPr="00D254F3">
        <w:rPr>
          <w:rFonts w:ascii="Times New Roman" w:hAnsi="Times New Roman" w:cs="Times New Roman"/>
          <w:i/>
          <w:iCs/>
          <w:sz w:val="24"/>
          <w:szCs w:val="24"/>
          <w:lang w:val="en-IE"/>
        </w:rPr>
        <w:t>Lord Browne-Wilkinson</w:t>
      </w:r>
      <w:r>
        <w:rPr>
          <w:rFonts w:ascii="Times New Roman" w:hAnsi="Times New Roman" w:cs="Times New Roman"/>
          <w:sz w:val="24"/>
          <w:szCs w:val="24"/>
          <w:lang w:val="en-IE"/>
        </w:rPr>
        <w:t xml:space="preserve"> argued that the charges of torture and conspiracy to commit torture were not covered by the applicant’s immunity because Chile had ratified the </w:t>
      </w:r>
      <w:r w:rsidRPr="001A50CA">
        <w:rPr>
          <w:rFonts w:ascii="Times New Roman" w:hAnsi="Times New Roman" w:cs="Times New Roman"/>
          <w:sz w:val="24"/>
          <w:szCs w:val="24"/>
          <w:lang w:val="en-IE"/>
        </w:rPr>
        <w:t>Convention against Torture and Other Cruel, Inhuman or Degrading Treatment or Punishment</w:t>
      </w:r>
      <w:r>
        <w:rPr>
          <w:rFonts w:ascii="Times New Roman" w:hAnsi="Times New Roman" w:cs="Times New Roman"/>
          <w:sz w:val="24"/>
          <w:szCs w:val="24"/>
          <w:lang w:val="en-IE"/>
        </w:rPr>
        <w:t xml:space="preserve"> (“the Convention”). Therefore, Chile and all other State Parties to the Convention should have jurisdiction to try official for acts of torture that had occurred after the entry into force of the Convention between the involved States.</w:t>
      </w:r>
      <w:r w:rsidR="000609BE">
        <w:rPr>
          <w:rFonts w:ascii="Times New Roman" w:hAnsi="Times New Roman" w:cs="Times New Roman"/>
          <w:sz w:val="24"/>
          <w:szCs w:val="24"/>
          <w:lang w:val="en-IE"/>
        </w:rPr>
        <w:t xml:space="preserve"> Conversely, the ordinary charge of murder was covered by immunity.</w:t>
      </w:r>
    </w:p>
    <w:p w14:paraId="118A53B7" w14:textId="46E32D51" w:rsidR="000609BE" w:rsidRPr="00D254F3" w:rsidRDefault="00D254F3" w:rsidP="00747ACE">
      <w:pPr>
        <w:spacing w:line="360" w:lineRule="auto"/>
        <w:jc w:val="both"/>
        <w:rPr>
          <w:rFonts w:ascii="Times New Roman" w:hAnsi="Times New Roman" w:cs="Times New Roman"/>
          <w:sz w:val="24"/>
          <w:szCs w:val="24"/>
          <w:lang w:val="en-IE"/>
        </w:rPr>
      </w:pPr>
      <w:r>
        <w:rPr>
          <w:rFonts w:ascii="Times New Roman" w:hAnsi="Times New Roman" w:cs="Times New Roman"/>
          <w:sz w:val="24"/>
          <w:szCs w:val="24"/>
          <w:lang w:val="en-IE"/>
        </w:rPr>
        <w:t>By contrast</w:t>
      </w:r>
      <w:r w:rsidR="000609BE" w:rsidRPr="00D254F3">
        <w:rPr>
          <w:rFonts w:ascii="Times New Roman" w:hAnsi="Times New Roman" w:cs="Times New Roman"/>
          <w:i/>
          <w:iCs/>
          <w:sz w:val="24"/>
          <w:szCs w:val="24"/>
          <w:lang w:val="en-IE"/>
        </w:rPr>
        <w:t>, Lord Goff</w:t>
      </w:r>
      <w:r w:rsidR="000609BE">
        <w:rPr>
          <w:rFonts w:ascii="Times New Roman" w:hAnsi="Times New Roman" w:cs="Times New Roman"/>
          <w:sz w:val="24"/>
          <w:szCs w:val="24"/>
          <w:lang w:val="en-IE"/>
        </w:rPr>
        <w:t xml:space="preserve"> </w:t>
      </w:r>
      <w:r w:rsidR="00276FF4" w:rsidRPr="00276FF4">
        <w:rPr>
          <w:rFonts w:ascii="Times New Roman" w:hAnsi="Times New Roman" w:cs="Times New Roman"/>
          <w:i/>
          <w:iCs/>
          <w:sz w:val="24"/>
          <w:szCs w:val="24"/>
          <w:lang w:val="en-IE"/>
        </w:rPr>
        <w:t>of Chieveley</w:t>
      </w:r>
      <w:r w:rsidR="00276FF4">
        <w:rPr>
          <w:rFonts w:ascii="Times New Roman" w:hAnsi="Times New Roman" w:cs="Times New Roman"/>
          <w:sz w:val="24"/>
          <w:szCs w:val="24"/>
          <w:lang w:val="en-IE"/>
        </w:rPr>
        <w:t xml:space="preserve"> </w:t>
      </w:r>
      <w:r w:rsidR="000609BE">
        <w:rPr>
          <w:rFonts w:ascii="Times New Roman" w:hAnsi="Times New Roman" w:cs="Times New Roman"/>
          <w:sz w:val="24"/>
          <w:szCs w:val="24"/>
          <w:lang w:val="en-IE"/>
        </w:rPr>
        <w:t>rejected the argument that state immunity could be waived implicitly by acceding to the Convention. Therefore, he concluded that all of the applicant’s actions were covered by state immunity which would prevent an extradition.</w:t>
      </w:r>
      <w:r>
        <w:rPr>
          <w:rFonts w:ascii="Times New Roman" w:hAnsi="Times New Roman" w:cs="Times New Roman"/>
          <w:sz w:val="24"/>
          <w:szCs w:val="24"/>
          <w:lang w:val="en-IE"/>
        </w:rPr>
        <w:t xml:space="preserve"> While </w:t>
      </w:r>
      <w:r>
        <w:rPr>
          <w:rFonts w:ascii="Times New Roman" w:hAnsi="Times New Roman" w:cs="Times New Roman"/>
          <w:i/>
          <w:iCs/>
          <w:sz w:val="24"/>
          <w:szCs w:val="24"/>
          <w:lang w:val="en-IE"/>
        </w:rPr>
        <w:t>Lor</w:t>
      </w:r>
      <w:r w:rsidR="00A13314">
        <w:rPr>
          <w:rFonts w:ascii="Times New Roman" w:hAnsi="Times New Roman" w:cs="Times New Roman"/>
          <w:i/>
          <w:iCs/>
          <w:sz w:val="24"/>
          <w:szCs w:val="24"/>
          <w:lang w:val="en-IE"/>
        </w:rPr>
        <w:t>d</w:t>
      </w:r>
      <w:r>
        <w:rPr>
          <w:rFonts w:ascii="Times New Roman" w:hAnsi="Times New Roman" w:cs="Times New Roman"/>
          <w:i/>
          <w:iCs/>
          <w:sz w:val="24"/>
          <w:szCs w:val="24"/>
          <w:lang w:val="en-IE"/>
        </w:rPr>
        <w:t xml:space="preserve"> Saville of Newdigate </w:t>
      </w:r>
      <w:r>
        <w:rPr>
          <w:rFonts w:ascii="Times New Roman" w:hAnsi="Times New Roman" w:cs="Times New Roman"/>
          <w:sz w:val="24"/>
          <w:szCs w:val="24"/>
          <w:lang w:val="en-IE"/>
        </w:rPr>
        <w:t xml:space="preserve"> agreed in principle that a waiver of immunity has to be express, he found the provisions of the Convention </w:t>
      </w:r>
      <w:r w:rsidR="00A13314">
        <w:rPr>
          <w:rFonts w:ascii="Times New Roman" w:hAnsi="Times New Roman" w:cs="Times New Roman"/>
          <w:sz w:val="24"/>
          <w:szCs w:val="24"/>
          <w:lang w:val="en-IE"/>
        </w:rPr>
        <w:t>to</w:t>
      </w:r>
      <w:r>
        <w:rPr>
          <w:rFonts w:ascii="Times New Roman" w:hAnsi="Times New Roman" w:cs="Times New Roman"/>
          <w:sz w:val="24"/>
          <w:szCs w:val="24"/>
          <w:lang w:val="en-IE"/>
        </w:rPr>
        <w:t xml:space="preserve"> be clear enough to constitute such a waiver of immunity.</w:t>
      </w:r>
    </w:p>
    <w:p w14:paraId="440833CA" w14:textId="3309ED4A" w:rsidR="00D254F3" w:rsidRDefault="000609BE" w:rsidP="00747ACE">
      <w:pPr>
        <w:spacing w:line="360" w:lineRule="auto"/>
        <w:jc w:val="both"/>
        <w:rPr>
          <w:rFonts w:ascii="Times New Roman" w:hAnsi="Times New Roman" w:cs="Times New Roman"/>
          <w:sz w:val="24"/>
          <w:szCs w:val="24"/>
          <w:lang w:val="en-IE"/>
        </w:rPr>
      </w:pPr>
      <w:r w:rsidRPr="00D254F3">
        <w:rPr>
          <w:rFonts w:ascii="Times New Roman" w:hAnsi="Times New Roman" w:cs="Times New Roman"/>
          <w:i/>
          <w:iCs/>
          <w:sz w:val="24"/>
          <w:szCs w:val="24"/>
          <w:lang w:val="en-IE"/>
        </w:rPr>
        <w:t>Lord Hope</w:t>
      </w:r>
      <w:r>
        <w:rPr>
          <w:rFonts w:ascii="Times New Roman" w:hAnsi="Times New Roman" w:cs="Times New Roman"/>
          <w:sz w:val="24"/>
          <w:szCs w:val="24"/>
          <w:lang w:val="en-IE"/>
        </w:rPr>
        <w:t xml:space="preserve"> </w:t>
      </w:r>
      <w:r w:rsidR="00D254F3">
        <w:rPr>
          <w:rFonts w:ascii="Times New Roman" w:hAnsi="Times New Roman" w:cs="Times New Roman"/>
          <w:sz w:val="24"/>
          <w:szCs w:val="24"/>
          <w:lang w:val="en-IE"/>
        </w:rPr>
        <w:t xml:space="preserve">of Craighead </w:t>
      </w:r>
      <w:r>
        <w:rPr>
          <w:rFonts w:ascii="Times New Roman" w:hAnsi="Times New Roman" w:cs="Times New Roman"/>
          <w:sz w:val="24"/>
          <w:szCs w:val="24"/>
          <w:lang w:val="en-IE"/>
        </w:rPr>
        <w:t>took a similar approach to Lord Brown-Wilkinson. However, in his view the torture must have been systematic or widespread for immunity to perish.</w:t>
      </w:r>
      <w:r w:rsidR="00D254F3">
        <w:rPr>
          <w:rFonts w:ascii="Times New Roman" w:hAnsi="Times New Roman" w:cs="Times New Roman"/>
          <w:sz w:val="24"/>
          <w:szCs w:val="24"/>
          <w:lang w:val="en-IE"/>
        </w:rPr>
        <w:t xml:space="preserve"> Contrastingly, </w:t>
      </w:r>
      <w:r w:rsidR="00D254F3" w:rsidRPr="00D254F3">
        <w:rPr>
          <w:rFonts w:ascii="Times New Roman" w:hAnsi="Times New Roman" w:cs="Times New Roman"/>
          <w:i/>
          <w:iCs/>
          <w:sz w:val="24"/>
          <w:szCs w:val="24"/>
          <w:lang w:val="en-IE"/>
        </w:rPr>
        <w:t>Lord Hutton</w:t>
      </w:r>
      <w:r w:rsidR="00D254F3">
        <w:rPr>
          <w:rFonts w:ascii="Times New Roman" w:hAnsi="Times New Roman" w:cs="Times New Roman"/>
          <w:i/>
          <w:iCs/>
          <w:sz w:val="24"/>
          <w:szCs w:val="24"/>
          <w:lang w:val="en-IE"/>
        </w:rPr>
        <w:t xml:space="preserve"> </w:t>
      </w:r>
      <w:r w:rsidR="00D254F3">
        <w:rPr>
          <w:rFonts w:ascii="Times New Roman" w:hAnsi="Times New Roman" w:cs="Times New Roman"/>
          <w:sz w:val="24"/>
          <w:szCs w:val="24"/>
          <w:lang w:val="en-IE"/>
        </w:rPr>
        <w:t>advocated the position that a single act of torture would suffice.</w:t>
      </w:r>
    </w:p>
    <w:p w14:paraId="01EDB453" w14:textId="10474C72" w:rsidR="00D254F3" w:rsidRDefault="00D254F3" w:rsidP="00747ACE">
      <w:pPr>
        <w:spacing w:line="360" w:lineRule="auto"/>
        <w:jc w:val="both"/>
        <w:rPr>
          <w:rFonts w:ascii="Times New Roman" w:hAnsi="Times New Roman" w:cs="Times New Roman"/>
          <w:sz w:val="24"/>
          <w:szCs w:val="24"/>
          <w:lang w:val="en-IE"/>
        </w:rPr>
      </w:pPr>
      <w:r>
        <w:rPr>
          <w:rFonts w:ascii="Times New Roman" w:hAnsi="Times New Roman" w:cs="Times New Roman"/>
          <w:i/>
          <w:iCs/>
          <w:sz w:val="24"/>
          <w:szCs w:val="24"/>
          <w:lang w:val="en-IE"/>
        </w:rPr>
        <w:t xml:space="preserve">Lord Millet </w:t>
      </w:r>
      <w:r>
        <w:rPr>
          <w:rFonts w:ascii="Times New Roman" w:hAnsi="Times New Roman" w:cs="Times New Roman"/>
          <w:sz w:val="24"/>
          <w:szCs w:val="24"/>
          <w:lang w:val="en-IE"/>
        </w:rPr>
        <w:t>concluded that only a serving head of state could claim immunity in the case of torture allegation. Since the applicant was merely a former head of state, he could be extradited.</w:t>
      </w:r>
    </w:p>
    <w:p w14:paraId="52D7F99D" w14:textId="38A2E461" w:rsidR="00A13314" w:rsidRPr="00A13314" w:rsidRDefault="00A13314" w:rsidP="00747ACE">
      <w:pPr>
        <w:spacing w:line="360" w:lineRule="auto"/>
        <w:jc w:val="both"/>
        <w:rPr>
          <w:rFonts w:ascii="Times New Roman" w:hAnsi="Times New Roman" w:cs="Times New Roman"/>
          <w:sz w:val="24"/>
          <w:szCs w:val="24"/>
          <w:lang w:val="en-IE"/>
        </w:rPr>
      </w:pPr>
      <w:r>
        <w:rPr>
          <w:rFonts w:ascii="Times New Roman" w:hAnsi="Times New Roman" w:cs="Times New Roman"/>
          <w:sz w:val="24"/>
          <w:szCs w:val="24"/>
          <w:lang w:val="en-IE"/>
        </w:rPr>
        <w:lastRenderedPageBreak/>
        <w:t xml:space="preserve">Two approaches leading to a loss of immunity were discussed by </w:t>
      </w:r>
      <w:r>
        <w:rPr>
          <w:rFonts w:ascii="Times New Roman" w:hAnsi="Times New Roman" w:cs="Times New Roman"/>
          <w:i/>
          <w:iCs/>
          <w:sz w:val="24"/>
          <w:szCs w:val="24"/>
          <w:lang w:val="en-IE"/>
        </w:rPr>
        <w:t>Lord Philips of Worth Matravers</w:t>
      </w:r>
      <w:r>
        <w:rPr>
          <w:rFonts w:ascii="Times New Roman" w:hAnsi="Times New Roman" w:cs="Times New Roman"/>
          <w:sz w:val="24"/>
          <w:szCs w:val="24"/>
          <w:lang w:val="en-IE"/>
        </w:rPr>
        <w:t>: Firstly, head of state immunity does not apply in cases of torture. Secondly, the State Parties to Convention have expressly waived immunity. Finally, he favoured the first approach, and rejected the applicant’s claim.</w:t>
      </w:r>
    </w:p>
    <w:sectPr w:rsidR="00A13314" w:rsidRPr="00A1331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ACE"/>
    <w:rsid w:val="000609BE"/>
    <w:rsid w:val="001A50CA"/>
    <w:rsid w:val="00276FF4"/>
    <w:rsid w:val="003B2A71"/>
    <w:rsid w:val="00747ACE"/>
    <w:rsid w:val="007A0ADD"/>
    <w:rsid w:val="008C2594"/>
    <w:rsid w:val="00916441"/>
    <w:rsid w:val="00A13314"/>
    <w:rsid w:val="00C3023B"/>
    <w:rsid w:val="00D254F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09B84"/>
  <w15:chartTrackingRefBased/>
  <w15:docId w15:val="{E85CE5FD-A62D-465F-B4F8-6252707E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ACE"/>
  </w:style>
  <w:style w:type="paragraph" w:styleId="Heading1">
    <w:name w:val="heading 1"/>
    <w:basedOn w:val="Normal"/>
    <w:next w:val="Normal"/>
    <w:link w:val="Heading1Char"/>
    <w:uiPriority w:val="9"/>
    <w:qFormat/>
    <w:rsid w:val="00747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7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7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7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7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ACE"/>
    <w:rPr>
      <w:rFonts w:eastAsiaTheme="majorEastAsia" w:cstheme="majorBidi"/>
      <w:color w:val="272727" w:themeColor="text1" w:themeTint="D8"/>
    </w:rPr>
  </w:style>
  <w:style w:type="paragraph" w:styleId="Title">
    <w:name w:val="Title"/>
    <w:basedOn w:val="Normal"/>
    <w:next w:val="Normal"/>
    <w:link w:val="TitleChar"/>
    <w:uiPriority w:val="10"/>
    <w:qFormat/>
    <w:rsid w:val="00747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ACE"/>
    <w:pPr>
      <w:spacing w:before="160"/>
      <w:jc w:val="center"/>
    </w:pPr>
    <w:rPr>
      <w:i/>
      <w:iCs/>
      <w:color w:val="404040" w:themeColor="text1" w:themeTint="BF"/>
    </w:rPr>
  </w:style>
  <w:style w:type="character" w:customStyle="1" w:styleId="QuoteChar">
    <w:name w:val="Quote Char"/>
    <w:basedOn w:val="DefaultParagraphFont"/>
    <w:link w:val="Quote"/>
    <w:uiPriority w:val="29"/>
    <w:rsid w:val="00747ACE"/>
    <w:rPr>
      <w:i/>
      <w:iCs/>
      <w:color w:val="404040" w:themeColor="text1" w:themeTint="BF"/>
    </w:rPr>
  </w:style>
  <w:style w:type="paragraph" w:styleId="ListParagraph">
    <w:name w:val="List Paragraph"/>
    <w:basedOn w:val="Normal"/>
    <w:uiPriority w:val="34"/>
    <w:qFormat/>
    <w:rsid w:val="00747ACE"/>
    <w:pPr>
      <w:ind w:left="720"/>
      <w:contextualSpacing/>
    </w:pPr>
  </w:style>
  <w:style w:type="character" w:styleId="IntenseEmphasis">
    <w:name w:val="Intense Emphasis"/>
    <w:basedOn w:val="DefaultParagraphFont"/>
    <w:uiPriority w:val="21"/>
    <w:qFormat/>
    <w:rsid w:val="00747ACE"/>
    <w:rPr>
      <w:i/>
      <w:iCs/>
      <w:color w:val="2F5496" w:themeColor="accent1" w:themeShade="BF"/>
    </w:rPr>
  </w:style>
  <w:style w:type="paragraph" w:styleId="IntenseQuote">
    <w:name w:val="Intense Quote"/>
    <w:basedOn w:val="Normal"/>
    <w:next w:val="Normal"/>
    <w:link w:val="IntenseQuoteChar"/>
    <w:uiPriority w:val="30"/>
    <w:qFormat/>
    <w:rsid w:val="00747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ACE"/>
    <w:rPr>
      <w:i/>
      <w:iCs/>
      <w:color w:val="2F5496" w:themeColor="accent1" w:themeShade="BF"/>
    </w:rPr>
  </w:style>
  <w:style w:type="character" w:styleId="IntenseReference">
    <w:name w:val="Intense Reference"/>
    <w:basedOn w:val="DefaultParagraphFont"/>
    <w:uiPriority w:val="32"/>
    <w:qFormat/>
    <w:rsid w:val="00747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7718D-5668-4F0C-9FBE-A4AEFDB20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Gartner</dc:creator>
  <cp:keywords/>
  <dc:description/>
  <cp:lastModifiedBy>Philipp Gartner</cp:lastModifiedBy>
  <cp:revision>5</cp:revision>
  <cp:lastPrinted>2026-05-17T17:06:00Z</cp:lastPrinted>
  <dcterms:created xsi:type="dcterms:W3CDTF">2026-05-17T13:14:00Z</dcterms:created>
  <dcterms:modified xsi:type="dcterms:W3CDTF">2026-05-17T17:23:00Z</dcterms:modified>
</cp:coreProperties>
</file>