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56D5D" w14:textId="20FB61AB" w:rsidR="004F7BDA" w:rsidRPr="004F7BDA" w:rsidRDefault="004F7BDA" w:rsidP="004F7BDA">
      <w:pPr>
        <w:spacing w:line="360" w:lineRule="auto"/>
        <w:rPr>
          <w:rFonts w:ascii="Times New Roman" w:hAnsi="Times New Roman" w:cs="Times New Roman"/>
          <w:sz w:val="24"/>
          <w:szCs w:val="24"/>
          <w:lang w:val="en-IE"/>
        </w:rPr>
      </w:pPr>
      <w:r w:rsidRPr="004F7BDA">
        <w:rPr>
          <w:rFonts w:ascii="Times New Roman" w:hAnsi="Times New Roman" w:cs="Times New Roman"/>
          <w:b/>
          <w:bCs/>
          <w:sz w:val="24"/>
          <w:szCs w:val="24"/>
          <w:lang w:val="en-IE"/>
        </w:rPr>
        <w:t>CLIC Case 001</w:t>
      </w:r>
      <w:r w:rsidRPr="004F7BDA">
        <w:rPr>
          <w:rFonts w:ascii="Times New Roman" w:hAnsi="Times New Roman" w:cs="Times New Roman"/>
          <w:b/>
          <w:bCs/>
          <w:sz w:val="24"/>
          <w:szCs w:val="24"/>
          <w:lang w:val="en-IE"/>
        </w:rPr>
        <w:t>1</w:t>
      </w:r>
      <w:r>
        <w:rPr>
          <w:rFonts w:ascii="Times New Roman" w:hAnsi="Times New Roman" w:cs="Times New Roman"/>
          <w:sz w:val="24"/>
          <w:szCs w:val="24"/>
          <w:lang w:val="en-IE"/>
        </w:rPr>
        <w:br/>
      </w:r>
      <w:r w:rsidRPr="004F7BDA">
        <w:rPr>
          <w:rFonts w:ascii="Times New Roman" w:hAnsi="Times New Roman" w:cs="Times New Roman"/>
          <w:b/>
          <w:bCs/>
          <w:sz w:val="24"/>
          <w:szCs w:val="24"/>
          <w:lang w:val="en-IE"/>
        </w:rPr>
        <w:t>Country/Court:</w:t>
      </w:r>
      <w:r w:rsidRPr="004F7BDA">
        <w:rPr>
          <w:rFonts w:ascii="Times New Roman" w:hAnsi="Times New Roman" w:cs="Times New Roman"/>
          <w:sz w:val="24"/>
          <w:szCs w:val="24"/>
          <w:lang w:val="en-IE"/>
        </w:rPr>
        <w:t xml:space="preserve"> </w:t>
      </w:r>
      <w:r>
        <w:rPr>
          <w:rFonts w:ascii="Times New Roman" w:hAnsi="Times New Roman" w:cs="Times New Roman"/>
          <w:sz w:val="24"/>
          <w:szCs w:val="24"/>
          <w:lang w:val="en-IE"/>
        </w:rPr>
        <w:t>Supreme Court, Ukraine</w:t>
      </w:r>
      <w:r>
        <w:rPr>
          <w:rFonts w:ascii="Times New Roman" w:hAnsi="Times New Roman" w:cs="Times New Roman"/>
          <w:sz w:val="24"/>
          <w:szCs w:val="24"/>
          <w:lang w:val="en-IE"/>
        </w:rPr>
        <w:br/>
      </w:r>
      <w:r w:rsidRPr="004F7BDA">
        <w:rPr>
          <w:rFonts w:ascii="Times New Roman" w:hAnsi="Times New Roman" w:cs="Times New Roman"/>
          <w:b/>
          <w:bCs/>
          <w:sz w:val="24"/>
          <w:szCs w:val="24"/>
          <w:lang w:val="en-IE"/>
        </w:rPr>
        <w:t>Decision number/date:</w:t>
      </w:r>
      <w:r w:rsidRPr="004F7BDA">
        <w:rPr>
          <w:rFonts w:ascii="Times New Roman" w:hAnsi="Times New Roman" w:cs="Times New Roman"/>
          <w:sz w:val="24"/>
          <w:szCs w:val="24"/>
          <w:lang w:val="en-IE"/>
        </w:rPr>
        <w:t xml:space="preserve"> 13-15кс22</w:t>
      </w:r>
      <w:r>
        <w:rPr>
          <w:rFonts w:ascii="Times New Roman" w:hAnsi="Times New Roman" w:cs="Times New Roman"/>
          <w:sz w:val="24"/>
          <w:szCs w:val="24"/>
          <w:lang w:val="en-IE"/>
        </w:rPr>
        <w:t>,  1024-03-12</w:t>
      </w:r>
      <w:r>
        <w:rPr>
          <w:rFonts w:ascii="Times New Roman" w:hAnsi="Times New Roman" w:cs="Times New Roman"/>
          <w:sz w:val="24"/>
          <w:szCs w:val="24"/>
          <w:lang w:val="en-IE"/>
        </w:rPr>
        <w:br/>
      </w:r>
      <w:r w:rsidRPr="004F7BDA">
        <w:rPr>
          <w:rFonts w:ascii="Times New Roman" w:hAnsi="Times New Roman" w:cs="Times New Roman"/>
          <w:b/>
          <w:bCs/>
          <w:sz w:val="24"/>
          <w:szCs w:val="24"/>
          <w:lang w:val="en-IE"/>
        </w:rPr>
        <w:t>Crime / Issue:</w:t>
      </w:r>
      <w:r w:rsidRPr="004F7BDA">
        <w:rPr>
          <w:rFonts w:ascii="Times New Roman" w:hAnsi="Times New Roman" w:cs="Times New Roman"/>
          <w:sz w:val="24"/>
          <w:szCs w:val="24"/>
          <w:lang w:val="en-IE"/>
        </w:rPr>
        <w:t xml:space="preserve"> War Crimes,</w:t>
      </w:r>
      <w:r>
        <w:rPr>
          <w:rFonts w:ascii="Times New Roman" w:hAnsi="Times New Roman" w:cs="Times New Roman"/>
          <w:sz w:val="24"/>
          <w:szCs w:val="24"/>
          <w:lang w:val="en-IE"/>
        </w:rPr>
        <w:t xml:space="preserve"> Aggression</w:t>
      </w:r>
      <w:r>
        <w:rPr>
          <w:rFonts w:ascii="Times New Roman" w:hAnsi="Times New Roman" w:cs="Times New Roman"/>
          <w:sz w:val="24"/>
          <w:szCs w:val="24"/>
          <w:lang w:val="en-IE"/>
        </w:rPr>
        <w:br/>
      </w:r>
      <w:r w:rsidRPr="004F7BDA">
        <w:rPr>
          <w:rFonts w:ascii="Times New Roman" w:hAnsi="Times New Roman" w:cs="Times New Roman"/>
          <w:b/>
          <w:bCs/>
          <w:sz w:val="24"/>
          <w:szCs w:val="24"/>
          <w:lang w:val="en-IE"/>
        </w:rPr>
        <w:t>Abstract prepared by:</w:t>
      </w:r>
      <w:r>
        <w:rPr>
          <w:rFonts w:ascii="Times New Roman" w:hAnsi="Times New Roman" w:cs="Times New Roman"/>
          <w:sz w:val="24"/>
          <w:szCs w:val="24"/>
          <w:lang w:val="en-IE"/>
        </w:rPr>
        <w:t xml:space="preserve"> </w:t>
      </w:r>
      <w:r w:rsidRPr="004F7BDA">
        <w:rPr>
          <w:rFonts w:ascii="Times New Roman" w:hAnsi="Times New Roman" w:cs="Times New Roman"/>
          <w:sz w:val="24"/>
          <w:szCs w:val="24"/>
          <w:lang w:val="en-IE"/>
        </w:rPr>
        <w:t>Philipp Gartner</w:t>
      </w:r>
    </w:p>
    <w:p w14:paraId="4A02BEFB" w14:textId="77777777" w:rsidR="004F7BDA" w:rsidRDefault="004F7BDA" w:rsidP="004F7BDA">
      <w:pPr>
        <w:spacing w:line="360" w:lineRule="auto"/>
        <w:jc w:val="both"/>
        <w:rPr>
          <w:rFonts w:ascii="Times New Roman" w:hAnsi="Times New Roman" w:cs="Times New Roman"/>
          <w:sz w:val="24"/>
          <w:szCs w:val="24"/>
          <w:lang w:val="en-IE"/>
        </w:rPr>
      </w:pPr>
      <w:r w:rsidRPr="004F7BDA">
        <w:rPr>
          <w:rFonts w:ascii="Times New Roman" w:hAnsi="Times New Roman" w:cs="Times New Roman"/>
          <w:sz w:val="24"/>
          <w:szCs w:val="24"/>
          <w:lang w:val="en-IE"/>
        </w:rPr>
        <w:t>The Grand Chamber of the Supreme Court of Ukraine reviewed cassation appeals filed on behalf of individuals convicted of multiple offenses</w:t>
      </w:r>
      <w:r>
        <w:rPr>
          <w:rFonts w:ascii="Times New Roman" w:hAnsi="Times New Roman" w:cs="Times New Roman"/>
          <w:sz w:val="24"/>
          <w:szCs w:val="24"/>
          <w:lang w:val="en-IE"/>
        </w:rPr>
        <w:t xml:space="preserve">, </w:t>
      </w:r>
      <w:r w:rsidRPr="004F7BDA">
        <w:rPr>
          <w:rFonts w:ascii="Times New Roman" w:hAnsi="Times New Roman" w:cs="Times New Roman"/>
          <w:sz w:val="24"/>
          <w:szCs w:val="24"/>
          <w:lang w:val="en-IE"/>
        </w:rPr>
        <w:t>including planning and waging an aggressive war, committing war crimes, and unlawful kidnapping</w:t>
      </w:r>
      <w:r>
        <w:rPr>
          <w:rFonts w:ascii="Times New Roman" w:hAnsi="Times New Roman" w:cs="Times New Roman"/>
          <w:sz w:val="24"/>
          <w:szCs w:val="24"/>
          <w:lang w:val="en-IE"/>
        </w:rPr>
        <w:t xml:space="preserve">, </w:t>
      </w:r>
      <w:r w:rsidRPr="004F7BDA">
        <w:rPr>
          <w:rFonts w:ascii="Times New Roman" w:hAnsi="Times New Roman" w:cs="Times New Roman"/>
          <w:sz w:val="24"/>
          <w:szCs w:val="24"/>
          <w:lang w:val="en-IE"/>
        </w:rPr>
        <w:t>arising from their 2014 participation in a pro-Russian illegal armed formation in the Luhansk region.</w:t>
      </w:r>
    </w:p>
    <w:p w14:paraId="51184031" w14:textId="6772F1A9" w:rsidR="004F7BDA" w:rsidRDefault="004F7BDA" w:rsidP="004F7BDA">
      <w:pPr>
        <w:spacing w:line="360" w:lineRule="auto"/>
        <w:jc w:val="both"/>
        <w:rPr>
          <w:rFonts w:ascii="Times New Roman" w:hAnsi="Times New Roman" w:cs="Times New Roman"/>
          <w:sz w:val="24"/>
          <w:szCs w:val="24"/>
          <w:lang w:val="en-IE"/>
        </w:rPr>
      </w:pPr>
      <w:r w:rsidRPr="004F7BDA">
        <w:rPr>
          <w:rFonts w:ascii="Times New Roman" w:hAnsi="Times New Roman" w:cs="Times New Roman"/>
          <w:sz w:val="24"/>
          <w:szCs w:val="24"/>
          <w:lang w:val="en-IE"/>
        </w:rPr>
        <w:t>The defense sought to overturn the convictions by arguing that rank-and-file combatants lacking political or military command cannot be held liable</w:t>
      </w:r>
      <w:r>
        <w:rPr>
          <w:rFonts w:ascii="Times New Roman" w:hAnsi="Times New Roman" w:cs="Times New Roman"/>
          <w:sz w:val="24"/>
          <w:szCs w:val="24"/>
          <w:lang w:val="en-IE"/>
        </w:rPr>
        <w:t xml:space="preserve"> the crime of </w:t>
      </w:r>
      <w:r w:rsidR="00FC026F">
        <w:rPr>
          <w:rFonts w:ascii="Times New Roman" w:hAnsi="Times New Roman" w:cs="Times New Roman"/>
          <w:sz w:val="24"/>
          <w:szCs w:val="24"/>
          <w:lang w:val="en-IE"/>
        </w:rPr>
        <w:t>aggression</w:t>
      </w:r>
      <w:r w:rsidRPr="004F7BDA">
        <w:rPr>
          <w:rFonts w:ascii="Times New Roman" w:hAnsi="Times New Roman" w:cs="Times New Roman"/>
          <w:sz w:val="24"/>
          <w:szCs w:val="24"/>
          <w:lang w:val="en-IE"/>
        </w:rPr>
        <w:t xml:space="preserve">, that war crimes charges were inapplicable due to the absence of a formally declared state of war or martial law in 2014, and that the separate counts of kidnapping and illegal weapons possession were impermissibly redundant. </w:t>
      </w:r>
    </w:p>
    <w:p w14:paraId="640463B8" w14:textId="43819436" w:rsidR="004F7BDA" w:rsidRDefault="004F7BDA" w:rsidP="004F7BDA">
      <w:pPr>
        <w:spacing w:line="360" w:lineRule="auto"/>
        <w:jc w:val="both"/>
        <w:rPr>
          <w:rFonts w:ascii="Times New Roman" w:hAnsi="Times New Roman" w:cs="Times New Roman"/>
          <w:sz w:val="24"/>
          <w:szCs w:val="24"/>
          <w:lang w:val="en-IE"/>
        </w:rPr>
      </w:pPr>
      <w:r>
        <w:rPr>
          <w:rFonts w:ascii="Times New Roman" w:hAnsi="Times New Roman" w:cs="Times New Roman"/>
          <w:sz w:val="24"/>
          <w:szCs w:val="24"/>
          <w:lang w:val="en-IE"/>
        </w:rPr>
        <w:t xml:space="preserve">In relation to the </w:t>
      </w:r>
      <w:r w:rsidRPr="004F7BDA">
        <w:rPr>
          <w:rFonts w:ascii="Times New Roman" w:hAnsi="Times New Roman" w:cs="Times New Roman"/>
          <w:sz w:val="24"/>
          <w:szCs w:val="24"/>
          <w:lang w:val="en-IE"/>
        </w:rPr>
        <w:t xml:space="preserve">leadership requirement, the Grand Chamber </w:t>
      </w:r>
      <w:r>
        <w:rPr>
          <w:rFonts w:ascii="Times New Roman" w:hAnsi="Times New Roman" w:cs="Times New Roman"/>
          <w:sz w:val="24"/>
          <w:szCs w:val="24"/>
          <w:lang w:val="en-IE"/>
        </w:rPr>
        <w:t>ruled</w:t>
      </w:r>
      <w:r w:rsidRPr="004F7BDA">
        <w:rPr>
          <w:rFonts w:ascii="Times New Roman" w:hAnsi="Times New Roman" w:cs="Times New Roman"/>
          <w:sz w:val="24"/>
          <w:szCs w:val="24"/>
          <w:lang w:val="en-IE"/>
        </w:rPr>
        <w:t xml:space="preserve"> that the crime </w:t>
      </w:r>
      <w:r>
        <w:rPr>
          <w:rFonts w:ascii="Times New Roman" w:hAnsi="Times New Roman" w:cs="Times New Roman"/>
          <w:sz w:val="24"/>
          <w:szCs w:val="24"/>
          <w:lang w:val="en-IE"/>
        </w:rPr>
        <w:t xml:space="preserve">of aggression </w:t>
      </w:r>
      <w:r w:rsidRPr="004F7BDA">
        <w:rPr>
          <w:rFonts w:ascii="Times New Roman" w:hAnsi="Times New Roman" w:cs="Times New Roman"/>
          <w:sz w:val="24"/>
          <w:szCs w:val="24"/>
          <w:lang w:val="en-IE"/>
        </w:rPr>
        <w:t xml:space="preserve">applies exclusively to individuals who possess the official authority or societal status to effectively control, direct or significantly influence state military and political decisions, </w:t>
      </w:r>
      <w:r w:rsidR="00FC026F">
        <w:rPr>
          <w:rFonts w:ascii="Times New Roman" w:hAnsi="Times New Roman" w:cs="Times New Roman"/>
          <w:sz w:val="24"/>
          <w:szCs w:val="24"/>
          <w:lang w:val="en-IE"/>
        </w:rPr>
        <w:t xml:space="preserve">despite the fact that </w:t>
      </w:r>
      <w:r w:rsidR="00C24FAD">
        <w:rPr>
          <w:rFonts w:ascii="Times New Roman" w:hAnsi="Times New Roman" w:cs="Times New Roman"/>
          <w:sz w:val="24"/>
          <w:szCs w:val="24"/>
          <w:lang w:val="en-IE"/>
        </w:rPr>
        <w:t>Article 437</w:t>
      </w:r>
      <w:r w:rsidR="00386F72">
        <w:rPr>
          <w:rFonts w:ascii="Times New Roman" w:hAnsi="Times New Roman" w:cs="Times New Roman"/>
          <w:sz w:val="24"/>
          <w:szCs w:val="24"/>
          <w:lang w:val="en-IE"/>
        </w:rPr>
        <w:t xml:space="preserve"> of the Ukrainian Criminal Code</w:t>
      </w:r>
      <w:r w:rsidR="00920571">
        <w:rPr>
          <w:rFonts w:ascii="Times New Roman" w:hAnsi="Times New Roman" w:cs="Times New Roman"/>
          <w:sz w:val="24"/>
          <w:szCs w:val="24"/>
          <w:lang w:val="en-IE"/>
        </w:rPr>
        <w:t xml:space="preserve"> is silent on this matter. T</w:t>
      </w:r>
      <w:r w:rsidRPr="004F7BDA">
        <w:rPr>
          <w:rFonts w:ascii="Times New Roman" w:hAnsi="Times New Roman" w:cs="Times New Roman"/>
          <w:sz w:val="24"/>
          <w:szCs w:val="24"/>
          <w:lang w:val="en-IE"/>
        </w:rPr>
        <w:t xml:space="preserve">hereby </w:t>
      </w:r>
      <w:r w:rsidR="00920571">
        <w:rPr>
          <w:rFonts w:ascii="Times New Roman" w:hAnsi="Times New Roman" w:cs="Times New Roman"/>
          <w:sz w:val="24"/>
          <w:szCs w:val="24"/>
          <w:lang w:val="en-IE"/>
        </w:rPr>
        <w:t xml:space="preserve">it </w:t>
      </w:r>
      <w:r w:rsidRPr="004F7BDA">
        <w:rPr>
          <w:rFonts w:ascii="Times New Roman" w:hAnsi="Times New Roman" w:cs="Times New Roman"/>
          <w:sz w:val="24"/>
          <w:szCs w:val="24"/>
          <w:lang w:val="en-IE"/>
        </w:rPr>
        <w:t>dismiss</w:t>
      </w:r>
      <w:r w:rsidR="00920571">
        <w:rPr>
          <w:rFonts w:ascii="Times New Roman" w:hAnsi="Times New Roman" w:cs="Times New Roman"/>
          <w:sz w:val="24"/>
          <w:szCs w:val="24"/>
          <w:lang w:val="en-IE"/>
        </w:rPr>
        <w:t>ed</w:t>
      </w:r>
      <w:r w:rsidRPr="004F7BDA">
        <w:rPr>
          <w:rFonts w:ascii="Times New Roman" w:hAnsi="Times New Roman" w:cs="Times New Roman"/>
          <w:sz w:val="24"/>
          <w:szCs w:val="24"/>
          <w:lang w:val="en-IE"/>
        </w:rPr>
        <w:t xml:space="preserve"> that specific charge against the low-ranking defendants. </w:t>
      </w:r>
    </w:p>
    <w:p w14:paraId="1DAB7C9D" w14:textId="77777777" w:rsidR="004F7BDA" w:rsidRDefault="004F7BDA" w:rsidP="004F7BDA">
      <w:pPr>
        <w:spacing w:line="360" w:lineRule="auto"/>
        <w:jc w:val="both"/>
        <w:rPr>
          <w:rFonts w:ascii="Times New Roman" w:hAnsi="Times New Roman" w:cs="Times New Roman"/>
          <w:sz w:val="24"/>
          <w:szCs w:val="24"/>
          <w:lang w:val="en-IE"/>
        </w:rPr>
      </w:pPr>
      <w:r w:rsidRPr="004F7BDA">
        <w:rPr>
          <w:rFonts w:ascii="Times New Roman" w:hAnsi="Times New Roman" w:cs="Times New Roman"/>
          <w:sz w:val="24"/>
          <w:szCs w:val="24"/>
          <w:lang w:val="en-IE"/>
        </w:rPr>
        <w:t xml:space="preserve">Regarding the war crimes charges under Article 438, the Court rejected the defense's claims, affirming that international humanitarian law and domestic war crimes provisions apply to any ongoing armed conflict irrespective of whether a state of war has been officially declared by national authorities. </w:t>
      </w:r>
    </w:p>
    <w:p w14:paraId="3F2A8373" w14:textId="56D86275" w:rsidR="008C2594" w:rsidRPr="004F7BDA" w:rsidRDefault="004F7BDA" w:rsidP="004F7BDA">
      <w:pPr>
        <w:spacing w:line="360" w:lineRule="auto"/>
        <w:jc w:val="both"/>
        <w:rPr>
          <w:rFonts w:ascii="Times New Roman" w:hAnsi="Times New Roman" w:cs="Times New Roman"/>
          <w:sz w:val="24"/>
          <w:szCs w:val="24"/>
          <w:lang w:val="en-IE"/>
        </w:rPr>
      </w:pPr>
      <w:r w:rsidRPr="004F7BDA">
        <w:rPr>
          <w:rFonts w:ascii="Times New Roman" w:hAnsi="Times New Roman" w:cs="Times New Roman"/>
          <w:sz w:val="24"/>
          <w:szCs w:val="24"/>
          <w:lang w:val="en-IE"/>
        </w:rPr>
        <w:t xml:space="preserve">Finally, applying the principle of </w:t>
      </w:r>
      <w:r w:rsidRPr="004F7BDA">
        <w:rPr>
          <w:rFonts w:ascii="Times New Roman" w:hAnsi="Times New Roman" w:cs="Times New Roman"/>
          <w:i/>
          <w:iCs/>
          <w:sz w:val="24"/>
          <w:szCs w:val="24"/>
          <w:lang w:val="en-IE"/>
        </w:rPr>
        <w:t>non bis in idem</w:t>
      </w:r>
      <w:r w:rsidRPr="004F7BDA">
        <w:rPr>
          <w:rFonts w:ascii="Times New Roman" w:hAnsi="Times New Roman" w:cs="Times New Roman"/>
          <w:sz w:val="24"/>
          <w:szCs w:val="24"/>
          <w:lang w:val="en-IE"/>
        </w:rPr>
        <w:t>, the Court concluded that separate charges for kidnapping and weapon handling were superfluous because those actions were entirely encompassed within the objective elements of the war crimes and the illegal armed formation offenses, respectively, resulting in the exclusion of those redundant counts and a modification of the sentences.</w:t>
      </w:r>
    </w:p>
    <w:sectPr w:rsidR="008C2594" w:rsidRPr="004F7BD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BDA"/>
    <w:rsid w:val="000F5738"/>
    <w:rsid w:val="002F0640"/>
    <w:rsid w:val="00386F72"/>
    <w:rsid w:val="004F7BDA"/>
    <w:rsid w:val="008C2594"/>
    <w:rsid w:val="00920571"/>
    <w:rsid w:val="00C24FAD"/>
    <w:rsid w:val="00FC026F"/>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968B3"/>
  <w15:chartTrackingRefBased/>
  <w15:docId w15:val="{4DAC93EA-DC7F-4686-B279-C0E710381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7B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7B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7B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7B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7B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7B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7B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7B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7B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7B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7B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7B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7B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7B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7B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7B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7B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7BDA"/>
    <w:rPr>
      <w:rFonts w:eastAsiaTheme="majorEastAsia" w:cstheme="majorBidi"/>
      <w:color w:val="272727" w:themeColor="text1" w:themeTint="D8"/>
    </w:rPr>
  </w:style>
  <w:style w:type="paragraph" w:styleId="Title">
    <w:name w:val="Title"/>
    <w:basedOn w:val="Normal"/>
    <w:next w:val="Normal"/>
    <w:link w:val="TitleChar"/>
    <w:uiPriority w:val="10"/>
    <w:qFormat/>
    <w:rsid w:val="004F7B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7B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7B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7B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7BDA"/>
    <w:pPr>
      <w:spacing w:before="160"/>
      <w:jc w:val="center"/>
    </w:pPr>
    <w:rPr>
      <w:i/>
      <w:iCs/>
      <w:color w:val="404040" w:themeColor="text1" w:themeTint="BF"/>
    </w:rPr>
  </w:style>
  <w:style w:type="character" w:customStyle="1" w:styleId="QuoteChar">
    <w:name w:val="Quote Char"/>
    <w:basedOn w:val="DefaultParagraphFont"/>
    <w:link w:val="Quote"/>
    <w:uiPriority w:val="29"/>
    <w:rsid w:val="004F7BDA"/>
    <w:rPr>
      <w:i/>
      <w:iCs/>
      <w:color w:val="404040" w:themeColor="text1" w:themeTint="BF"/>
    </w:rPr>
  </w:style>
  <w:style w:type="paragraph" w:styleId="ListParagraph">
    <w:name w:val="List Paragraph"/>
    <w:basedOn w:val="Normal"/>
    <w:uiPriority w:val="34"/>
    <w:qFormat/>
    <w:rsid w:val="004F7BDA"/>
    <w:pPr>
      <w:ind w:left="720"/>
      <w:contextualSpacing/>
    </w:pPr>
  </w:style>
  <w:style w:type="character" w:styleId="IntenseEmphasis">
    <w:name w:val="Intense Emphasis"/>
    <w:basedOn w:val="DefaultParagraphFont"/>
    <w:uiPriority w:val="21"/>
    <w:qFormat/>
    <w:rsid w:val="004F7BDA"/>
    <w:rPr>
      <w:i/>
      <w:iCs/>
      <w:color w:val="2F5496" w:themeColor="accent1" w:themeShade="BF"/>
    </w:rPr>
  </w:style>
  <w:style w:type="paragraph" w:styleId="IntenseQuote">
    <w:name w:val="Intense Quote"/>
    <w:basedOn w:val="Normal"/>
    <w:next w:val="Normal"/>
    <w:link w:val="IntenseQuoteChar"/>
    <w:uiPriority w:val="30"/>
    <w:qFormat/>
    <w:rsid w:val="004F7B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7BDA"/>
    <w:rPr>
      <w:i/>
      <w:iCs/>
      <w:color w:val="2F5496" w:themeColor="accent1" w:themeShade="BF"/>
    </w:rPr>
  </w:style>
  <w:style w:type="character" w:styleId="IntenseReference">
    <w:name w:val="Intense Reference"/>
    <w:basedOn w:val="DefaultParagraphFont"/>
    <w:uiPriority w:val="32"/>
    <w:qFormat/>
    <w:rsid w:val="004F7BD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281</Words>
  <Characters>1776</Characters>
  <Application>Microsoft Office Word</Application>
  <DocSecurity>0</DocSecurity>
  <Lines>14</Lines>
  <Paragraphs>4</Paragraphs>
  <ScaleCrop>false</ScaleCrop>
  <Company/>
  <LinksUpToDate>false</LinksUpToDate>
  <CharactersWithSpaces>2053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Philipp Gartner</dc:creator>
  <cp:keywords/>
  <dc:description/>
  <cp:lastModifiedBy>Philipp Gartner</cp:lastModifiedBy>
  <cp:revision>6</cp:revision>
  <cp:lastPrinted>2026-05-18T15:25:00Z</cp:lastPrinted>
  <dcterms:created xsi:type="dcterms:W3CDTF">2026-05-18T15:24:00Z</dcterms:created>
  <dcterms:modified xsi:type="dcterms:W3CDTF">2026-05-18T15:38:00Z</dcterms:modified>
</cp:coreProperties>
</file>