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Reflective Report: Ethical, Social and Professional Impacts of Cloud Computing</w:t>
      </w:r>
    </w:p>
    <w:p>
      <w:pPr>
        <w:spacing w:after="160" w:line="276" w:lineRule="auto"/>
        <w:jc w:val="both"/>
      </w:pPr>
      <w:r>
        <w:t>Throughout this module, my understanding of cloud computing has developed beyond its technical benefits of scalability, availability and cost efficiency. Through both academic study and practical activities, I have learned that cloud decisions also involve ethical, social and professional responsibilities. A technically successful solution is not necessarily an appropriate solution if security, privacy, resilience or regulatory requirements have not been properly considered.</w:t>
      </w:r>
    </w:p>
    <w:p>
      <w:pPr>
        <w:spacing w:after="160" w:line="276" w:lineRule="auto"/>
        <w:jc w:val="both"/>
      </w:pPr>
      <w:r>
        <w:t>One of the most important areas for me has been data security and privacy. Cloud services allow organisations to store and process large amounts of information across distributed infrastructure, but this creates responsibilities concerning where data is stored, who can access it and how it is protected. Under the UK GDPR, organisations must apply appropriate technical and organisational measures and consider data protection by design (ICO, 2026). This has influenced how I approach cloud architecture. For example, during my practical cloud migration work, I preferred private connectivity, encryption and restricted access rather than exposing services publicly simply because this would have been easier to configure.</w:t>
      </w:r>
    </w:p>
    <w:p>
      <w:pPr>
        <w:spacing w:after="160" w:line="276" w:lineRule="auto"/>
        <w:jc w:val="both"/>
      </w:pPr>
      <w:r>
        <w:t>I have also developed a greater appreciation of professional responsibility and resilience. Cloud availability does not automatically guarantee business continuity. My disaster recovery work demonstrated the importance of independent backups, recovery testing, and clearly defined Recovery Point Objectives (RPO) and Recovery Time Objectives (RTO). This reinforced the principle that resilience should be designed and tested rather than assumed. NIST similarly identifies contingency planning as an important part of protecting information systems (NIST, 2010).</w:t>
      </w:r>
    </w:p>
    <w:p>
      <w:pPr>
        <w:spacing w:after="160" w:line="276" w:lineRule="auto"/>
        <w:jc w:val="both"/>
      </w:pPr>
      <w:r>
        <w:t>There are also wider social and ethical considerations. Cloud computing enables remote working, digital services, AI and global collaboration, but increasing dependence on a small number of cloud providers can create concerns around vendor lock-in, digital inequality and organisational dependency. Cloud infrastructure also consumes significant energy and resources, meaning sustainability should form part of architectural decision-making rather than focusing solely on performance and cost.</w:t>
      </w:r>
    </w:p>
    <w:p>
      <w:pPr>
        <w:spacing w:after="160" w:line="276" w:lineRule="auto"/>
        <w:jc w:val="both"/>
      </w:pPr>
      <w:r>
        <w:t>Professionally, this module has shown me the importance of least privilege, automation and governance. Infrastructure as Code and automated deployment can improve consistency and reduce human error, but incorrect configurations can also be reproduced rapidly at scale. Security therefore needs to be incorporated throughout the cloud lifecycle. The NIST Zero Trust model reinforces this approach by moving away from implicit trust and requiring access decisions based on continuous verification (Rose et al., 2020).</w:t>
      </w:r>
    </w:p>
    <w:p>
      <w:pPr>
        <w:spacing w:after="160" w:line="276" w:lineRule="auto"/>
        <w:jc w:val="both"/>
      </w:pPr>
      <w:r>
        <w:t>Overall, I now approach cloud decision-making by considering security, privacy, resilience, compliance, sustainability and business requirements together. My main reflection from the module is that responsible cloud engineering is not simply about selecting the most advanced technology. It is about selecting and implementing technology in a way that is technically appropriate, ethically responsible and professionally defensible.</w:t>
      </w:r>
    </w:p>
    <w:p>
      <w:r>
        <w:rPr>
          <w:b/>
          <w:sz w:val="24"/>
        </w:rPr>
        <w:t>References</w:t>
      </w:r>
    </w:p>
    <w:p>
      <w:pPr>
        <w:spacing w:after="120"/>
        <w:ind w:left="360" w:hanging="360"/>
        <w:jc w:val="left"/>
      </w:pPr>
      <w:r>
        <w:t>ICO (2026) Data protection by design and default. Information Commissioner's Office. Available at: https://ico.org.uk/for-organisations/uk-gdpr-guidance-and-resources/accountability-and-governance/guide-to-accountability-and-governance/accountability-and-governance/data-protection-by-design-and-default/ (Accessed: 6 October 2026).</w:t>
      </w:r>
    </w:p>
    <w:p>
      <w:pPr>
        <w:spacing w:after="120"/>
        <w:ind w:left="360" w:hanging="360"/>
        <w:jc w:val="left"/>
      </w:pPr>
      <w:r>
        <w:t>NIST (2010) Contingency Planning Guide for Federal Information Systems. Special Publication 800-34 Rev. 1. Gaithersburg, MD: National Institute of Standards and Technology. Available at: https://csrc.nist.gov/pubs/sp/800/34/r1/final (Accessed: 6 October 2026).</w:t>
      </w:r>
    </w:p>
    <w:p>
      <w:pPr>
        <w:spacing w:after="120"/>
        <w:ind w:left="360" w:hanging="360"/>
        <w:jc w:val="left"/>
      </w:pPr>
      <w:r>
        <w:t>Rose, S., Borchert, O., Mitchell, S. and Connelly, S. (2020) Zero Trust Architecture. NIST Special Publication 800-207. Gaithersburg, MD: National Institute of Standards and Technology. Available at: https://csrc.nist.gov/pubs/sp/800/207/final (Accessed: 6 October 2026).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