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DFCB" w14:textId="77777777" w:rsidR="003102A5" w:rsidRDefault="00000000">
      <w:pPr>
        <w:jc w:val="center"/>
      </w:pPr>
      <w:r>
        <w:rPr>
          <w:b/>
          <w:sz w:val="44"/>
        </w:rPr>
        <w:t>Advanced Object‑Oriented Design and Programming</w:t>
      </w:r>
      <w:r>
        <w:rPr>
          <w:b/>
          <w:sz w:val="44"/>
        </w:rPr>
        <w:br/>
      </w:r>
      <w:r>
        <w:rPr>
          <w:b/>
          <w:sz w:val="36"/>
        </w:rPr>
        <w:t>e‑Portfolio</w:t>
      </w:r>
    </w:p>
    <w:p w14:paraId="79BD2DAF" w14:textId="77777777" w:rsidR="003102A5" w:rsidRDefault="003102A5"/>
    <w:p w14:paraId="698E8297" w14:textId="77777777" w:rsidR="003102A5" w:rsidRDefault="00000000">
      <w:pPr>
        <w:jc w:val="center"/>
      </w:pPr>
      <w:r>
        <w:rPr>
          <w:sz w:val="24"/>
        </w:rPr>
        <w:t>Student: [[ Payman Ghorbani ]]</w:t>
      </w:r>
      <w:r>
        <w:rPr>
          <w:sz w:val="24"/>
        </w:rPr>
        <w:br/>
        <w:t>Student ID: [[ Your ID ]]</w:t>
      </w:r>
      <w:r>
        <w:rPr>
          <w:sz w:val="24"/>
        </w:rPr>
        <w:br/>
        <w:t>Programme: [[ MSc/BS Programme ]]</w:t>
      </w:r>
      <w:r>
        <w:rPr>
          <w:sz w:val="24"/>
        </w:rPr>
        <w:br/>
        <w:t>Module: Advanced Object‑Oriented Design and Programming</w:t>
      </w:r>
      <w:r>
        <w:rPr>
          <w:sz w:val="24"/>
        </w:rPr>
        <w:br/>
        <w:t>Date: [[ 10 January 2026 ]]</w:t>
      </w:r>
      <w:r>
        <w:rPr>
          <w:sz w:val="24"/>
        </w:rPr>
        <w:br/>
        <w:t>Word Count: [[ Insert ]]</w:t>
      </w:r>
    </w:p>
    <w:p w14:paraId="1B34C9FA" w14:textId="77777777" w:rsidR="003102A5" w:rsidRDefault="00000000">
      <w:r>
        <w:br w:type="page"/>
      </w:r>
    </w:p>
    <w:p w14:paraId="53353D9B" w14:textId="77777777" w:rsidR="003102A5" w:rsidRDefault="00000000">
      <w:r>
        <w:rPr>
          <w:b/>
          <w:sz w:val="32"/>
        </w:rPr>
        <w:lastRenderedPageBreak/>
        <w:t>Table of Contents</w:t>
      </w:r>
    </w:p>
    <w:p w14:paraId="3C894F95" w14:textId="77777777" w:rsidR="003102A5" w:rsidRDefault="00000000">
      <w:r>
        <w:t>Tip: In Word, go to References → Table of Contents to insert and update the TOC after headings are finalized.</w:t>
      </w:r>
    </w:p>
    <w:p w14:paraId="7ABECCA9" w14:textId="77777777" w:rsidR="003102A5" w:rsidRDefault="00000000">
      <w:r>
        <w:br w:type="page"/>
      </w:r>
    </w:p>
    <w:p w14:paraId="04BE5ED1" w14:textId="77777777" w:rsidR="003102A5" w:rsidRDefault="00000000">
      <w:r>
        <w:rPr>
          <w:b/>
          <w:sz w:val="32"/>
        </w:rPr>
        <w:lastRenderedPageBreak/>
        <w:t>Executive Summary</w:t>
      </w:r>
    </w:p>
    <w:p w14:paraId="16482F4D" w14:textId="77777777" w:rsidR="003102A5" w:rsidRDefault="00000000">
      <w:r>
        <w:t>This e‑Portfolio reflects my learning journey across advanced object‑oriented design and programming with an emphasis on secure coding, design patterns, and architectures for large‑scale systems adaptable to AI/data science workflows. The artefacts include: (A1) a thread‑safe Python cache; (A2) a pattern‑driven payment module; (A3) a security design case study using threat modelling; (A4) an AI/data pipeline case study; and (A5) a Capstone “Modular Sales Insights Platform.” Throughout, I applied SOLID, composition over inheritance, and pattern intent (Strategy, Factory, Observer, Repository), aligning with industry standards like OWASP Top 10 and ASVS 5.0 for secure design and verification (OWASP, 2021; OWASP ASVS, 2025).</w:t>
      </w:r>
    </w:p>
    <w:p w14:paraId="6A4B595D" w14:textId="77777777" w:rsidR="003102A5" w:rsidRDefault="00000000">
      <w:r>
        <w:t>I close with a Professional Development Plan focused on deepening security (threat modelling, automated checks), distributed systems (resilience patterns), and MLOps (experiment tracking/model lifecycle), drawing on reputable guidance and tooling (Microsoft SDL Threat Modelling; MLflow) (Microsoft SDL, 2022; MLflow Docs, 2025).</w:t>
      </w:r>
    </w:p>
    <w:p w14:paraId="67B02E0F" w14:textId="77777777" w:rsidR="003102A5" w:rsidRDefault="00000000">
      <w:r>
        <w:rPr>
          <w:b/>
          <w:sz w:val="32"/>
        </w:rPr>
        <w:t>1. Introduction</w:t>
      </w:r>
    </w:p>
    <w:p w14:paraId="6CE3D727" w14:textId="77777777" w:rsidR="003102A5" w:rsidRDefault="00000000">
      <w:r>
        <w:t>Complex software today must be secure, maintainable, and scalable—often under evolving AI and data workloads. Advanced OOP principles (abstraction, encapsulation, polymorphism) and design patterns help us structure systems that are testable and change‑friendly. Foundational sources such as Gamma et al. (GoF) and Clean Architecture informed my approach: program to interfaces; prefer composition; separate domain from infrastructure; and preserve boundaries for long‑term agility (Gamma et al., 1994; Martin, 2017).</w:t>
      </w:r>
    </w:p>
    <w:p w14:paraId="7BC1EDF9" w14:textId="77777777" w:rsidR="003102A5" w:rsidRDefault="00000000">
      <w:r>
        <w:t>Learning approach (brief). I blended seminars and lecture casts with self‑study from module readings (e.g., Python Cookbook; Discovering Cybersecurity; Introduction to Responsible AI), and iterative coding practice in PyCharm. Collaborative discussion (Unit 7) nudged me to switch password hashing from bcrypt to Argon2 after reviewing peers’ refactoring and the literature on memory‑hard functions and the Argon2 RFC (Biryukov, Dinu &amp; Khovratovich, 2016; RFC 9106, 2021).</w:t>
      </w:r>
    </w:p>
    <w:p w14:paraId="59D35E92" w14:textId="77777777" w:rsidR="003102A5" w:rsidRDefault="00000000">
      <w:r>
        <w:rPr>
          <w:b/>
          <w:sz w:val="32"/>
        </w:rPr>
        <w:t>2. Summary of Key Learning Outcomes (with linked examples)</w:t>
      </w:r>
    </w:p>
    <w:p w14:paraId="1CDFDD49" w14:textId="77777777" w:rsidR="003102A5" w:rsidRDefault="00000000">
      <w:r>
        <w:t>Each objective: What I learned → How I applied it → Evidence → Reflection</w:t>
      </w:r>
    </w:p>
    <w:p w14:paraId="5338EF9E" w14:textId="77777777" w:rsidR="003102A5" w:rsidRDefault="00000000">
      <w:r>
        <w:rPr>
          <w:b/>
          <w:sz w:val="26"/>
        </w:rPr>
        <w:t>2.1 Implementing Secure Coding Practices</w:t>
      </w:r>
    </w:p>
    <w:p w14:paraId="4A4D5FC8" w14:textId="77777777" w:rsidR="003102A5" w:rsidRDefault="00000000">
      <w:r>
        <w:t>What I learned. I strengthened input validation/output encoding, least privilege, secrets management, safe concurrency, and structured logging. I used OWASP materials for risk awareness (e.g., injection, misconfiguration, broken access control), and ASVS 5.0 for verifiable controls (OWASP, 2021; OWASP ASVS, 2025).</w:t>
      </w:r>
    </w:p>
    <w:p w14:paraId="15605E44" w14:textId="77777777" w:rsidR="003102A5" w:rsidRDefault="00000000">
      <w:r>
        <w:lastRenderedPageBreak/>
        <w:t>How I applied it. I replaced SQL string concatenation with parameterised queries, centralised request validation with Pydantic‑style models, and implemented a thread‑safe singleton logger for coherent logs under concurrency (Pydantic Docs, 2025).</w:t>
      </w:r>
    </w:p>
    <w:p w14:paraId="2D0D0BAE" w14:textId="77777777" w:rsidR="003102A5" w:rsidRDefault="00000000">
      <w:r>
        <w:t>Evidence. See A1 (thread‑safe cache) and A3 (threat model).</w:t>
      </w:r>
    </w:p>
    <w:p w14:paraId="6885D5CB" w14:textId="77777777" w:rsidR="003102A5" w:rsidRDefault="00000000">
      <w:r>
        <w:t>Reflection. Early logs risked oversharing; I refactored to structured logs with redaction and added timeouts/retries with jitter to curb failure amplification—both consistent with secure design verification practice (OWASP ASVS, 2025).</w:t>
      </w:r>
    </w:p>
    <w:p w14:paraId="7167C6CD" w14:textId="77777777" w:rsidR="003102A5" w:rsidRDefault="00000000">
      <w:r>
        <w:rPr>
          <w:b/>
          <w:sz w:val="26"/>
        </w:rPr>
        <w:t>2.2 Applying Advanced OOP Principles to Solve Complex Problems</w:t>
      </w:r>
    </w:p>
    <w:p w14:paraId="3542A28E" w14:textId="77777777" w:rsidR="003102A5" w:rsidRDefault="00000000">
      <w:r>
        <w:t>What I learned. I practiced SOLID (SRP, OCP, LSP, DIP), favouring composition over inheritance and interface‑driven design to reduce coupling and improve testability. GoF guidance on programming to interfaces supported these decisions (Gamma et al., 1994).</w:t>
      </w:r>
    </w:p>
    <w:p w14:paraId="5862F3A2" w14:textId="77777777" w:rsidR="003102A5" w:rsidRDefault="00000000">
      <w:r>
        <w:t>How I applied it. In the Capstone, I used ports/adapters: domain logic remained pure, with adapters for persistence and web. Strategy objects selected algorithms at runtime; factories encapsulated construction (Martin, 2017).</w:t>
      </w:r>
    </w:p>
    <w:p w14:paraId="672963B8" w14:textId="77777777" w:rsidR="003102A5" w:rsidRDefault="00000000">
      <w:r>
        <w:t>Evidence. A2 and A5.</w:t>
      </w:r>
    </w:p>
    <w:p w14:paraId="39E369D4" w14:textId="77777777" w:rsidR="003102A5" w:rsidRDefault="00000000">
      <w:r>
        <w:t>Reflection. Refactoring from inheritance to composition avoided fragile base‑class issues and improved substitution compliance (Gamma et al., 1994).</w:t>
      </w:r>
    </w:p>
    <w:p w14:paraId="645FB7A4" w14:textId="77777777" w:rsidR="003102A5" w:rsidRDefault="00000000">
      <w:r>
        <w:rPr>
          <w:b/>
          <w:sz w:val="26"/>
        </w:rPr>
        <w:t>2.3 Utilising Design Patterns for Reusability, Maintainability, and Flexibility</w:t>
      </w:r>
    </w:p>
    <w:p w14:paraId="4714EF4F" w14:textId="77777777" w:rsidR="003102A5" w:rsidRDefault="00000000">
      <w:r>
        <w:t>What I learned. I used Strategy, Factory/Abstract Factory, Observer, Adapter, Facade, and Repository. Emphasis stayed on intent and trade‑offs, as framed by GoF (Gamma et al., 1994).</w:t>
      </w:r>
    </w:p>
    <w:p w14:paraId="092D96A6" w14:textId="77777777" w:rsidR="003102A5" w:rsidRDefault="00000000">
      <w:r>
        <w:t>How I applied it. Strategy powered pluggable discount policies; Factory built data connectors; Observer raised domain events; Facade simplified reporting.</w:t>
      </w:r>
    </w:p>
    <w:p w14:paraId="34F915D4" w14:textId="77777777" w:rsidR="003102A5" w:rsidRDefault="00000000">
      <w:r>
        <w:t>Evidence. A2.</w:t>
      </w:r>
    </w:p>
    <w:p w14:paraId="52C73058" w14:textId="77777777" w:rsidR="003102A5" w:rsidRDefault="00000000">
      <w:r>
        <w:t>Reflection. Patterns clarify intent and make change safer when applied judiciously (Gamma et al., 1994).</w:t>
      </w:r>
    </w:p>
    <w:p w14:paraId="3E968100" w14:textId="77777777" w:rsidR="003102A5" w:rsidRDefault="00000000">
      <w:r>
        <w:rPr>
          <w:b/>
          <w:sz w:val="26"/>
        </w:rPr>
        <w:t>2.4 Designing Architectures for Large‑Scale, Secure, Robust Systems</w:t>
      </w:r>
    </w:p>
    <w:p w14:paraId="2EDFBF75" w14:textId="77777777" w:rsidR="003102A5" w:rsidRDefault="00000000">
      <w:r>
        <w:t>What I learned. I compared modular monoliths with microservices, adopting a hexagonal architecture to keep domain pure and infrastructure replaceable. I aligned with secure design via threat modelling (STRIDE) and ASVS checks; robustness included idempotency and circuit‑breaker/retry policies (Microsoft SDL, 2022; OWASP ASVS, 2025).</w:t>
      </w:r>
    </w:p>
    <w:p w14:paraId="58C0B8E7" w14:textId="77777777" w:rsidR="003102A5" w:rsidRDefault="00000000">
      <w:r>
        <w:lastRenderedPageBreak/>
        <w:t>How I applied it. The Capstone used domain/application/adapters layers, TLS termination at a reverse proxy, and idempotent command handlers for eventual consistency.</w:t>
      </w:r>
    </w:p>
    <w:p w14:paraId="7482681B" w14:textId="77777777" w:rsidR="003102A5" w:rsidRDefault="00000000">
      <w:r>
        <w:t>Evidence. A5.</w:t>
      </w:r>
    </w:p>
    <w:p w14:paraId="49E0CD1E" w14:textId="77777777" w:rsidR="003102A5" w:rsidRDefault="00000000">
      <w:r>
        <w:t>Reflection. Starting with a modular monolith balanced complexity and evolution (Martin, 2017).</w:t>
      </w:r>
    </w:p>
    <w:p w14:paraId="5029D4BC" w14:textId="77777777" w:rsidR="003102A5" w:rsidRDefault="00000000">
      <w:r>
        <w:rPr>
          <w:b/>
          <w:sz w:val="26"/>
        </w:rPr>
        <w:t>2.5 Developing AI/Data‑Adaptable and Efficient Software</w:t>
      </w:r>
    </w:p>
    <w:p w14:paraId="6FD30C28" w14:textId="77777777" w:rsidR="003102A5" w:rsidRDefault="00000000">
      <w:r>
        <w:t>What I learned. I designed data pipelines with config‑driven experiments, abstracted model APIs, and emphasised reproducibility. MLflow supported experiment tracking/registry; feature stores (Feast) informed training/serving consistency (MLflow Docs, 2025; Feast Docs, 2025).</w:t>
      </w:r>
    </w:p>
    <w:p w14:paraId="0E864EE6" w14:textId="77777777" w:rsidR="003102A5" w:rsidRDefault="00000000">
      <w:r>
        <w:t>How I applied it. I implemented an experiment runner (YAML), Strategy‑style model selection, and adapters for different model libraries.</w:t>
      </w:r>
    </w:p>
    <w:p w14:paraId="518D847A" w14:textId="77777777" w:rsidR="003102A5" w:rsidRDefault="00000000">
      <w:r>
        <w:t>Evidence. A4, A5.</w:t>
      </w:r>
    </w:p>
    <w:p w14:paraId="3D201BA1" w14:textId="77777777" w:rsidR="003102A5" w:rsidRDefault="00000000">
      <w:r>
        <w:t>Reflection. Abstraction reduced friction when swapping models; adapter caveats were documented to avoid leaky abstractions (MLflow Docs, 2025).</w:t>
      </w:r>
    </w:p>
    <w:p w14:paraId="13D0CB21" w14:textId="77777777" w:rsidR="003102A5" w:rsidRDefault="00000000">
      <w:r>
        <w:rPr>
          <w:b/>
          <w:sz w:val="32"/>
        </w:rPr>
        <w:t>3. Showcase Artefacts</w:t>
      </w:r>
    </w:p>
    <w:p w14:paraId="4C0D6A15" w14:textId="77777777" w:rsidR="003102A5" w:rsidRDefault="00000000">
      <w:r>
        <w:t>Each artefact: Purpose → OOP techniques → Challenges → Evidence → Learning demonstrated</w:t>
      </w:r>
    </w:p>
    <w:p w14:paraId="39AB9134" w14:textId="77777777" w:rsidR="003102A5" w:rsidRDefault="00000000">
      <w:r>
        <w:rPr>
          <w:b/>
          <w:sz w:val="26"/>
        </w:rPr>
        <w:t>A1. Coding Exercise — Thread‑Safe Python Cache (TTL)</w:t>
      </w:r>
    </w:p>
    <w:p w14:paraId="05EE4F1C" w14:textId="77777777" w:rsidR="003102A5" w:rsidRDefault="00000000">
      <w:r>
        <w:t>Purpose. Provide a concurrent in‑memory cache with TTL and safe invalidation.</w:t>
      </w:r>
    </w:p>
    <w:p w14:paraId="225DA922" w14:textId="77777777" w:rsidR="003102A5" w:rsidRDefault="00000000">
      <w:r>
        <w:t>OOP &amp; Techniques. Encapsulation; immutability for entries; threading.Lock around writes; read‑copy‑update; background sweeper; defensive copying.</w:t>
      </w:r>
    </w:p>
    <w:p w14:paraId="7E2E4D85" w14:textId="77777777" w:rsidR="003102A5" w:rsidRDefault="00000000">
      <w:r>
        <w:t>Challenges &amp; Solutions. Avoided race conditions via minimal critical sections and lock ordering; mitigated contention with atomic swaps.</w:t>
      </w:r>
    </w:p>
    <w:p w14:paraId="5160F528" w14:textId="77777777" w:rsidR="003102A5" w:rsidRDefault="00000000">
      <w:r>
        <w:t>Evidence. [[ Repo link / Appendix A ]]</w:t>
      </w:r>
    </w:p>
    <w:p w14:paraId="0FA9D387" w14:textId="77777777" w:rsidR="003102A5" w:rsidRDefault="00000000">
      <w:r>
        <w:t>Learning demonstrated. Secure concurrency and robustness; validation with pytest stress tests (pytest Docs, 2025).</w:t>
      </w:r>
    </w:p>
    <w:p w14:paraId="0124AD46" w14:textId="77777777" w:rsidR="003102A5" w:rsidRDefault="00000000">
      <w:r>
        <w:rPr>
          <w:b/>
          <w:sz w:val="26"/>
        </w:rPr>
        <w:t>A2. Coding Exercise — Pattern‑Driven Payment Module</w:t>
      </w:r>
    </w:p>
    <w:p w14:paraId="771817FD" w14:textId="77777777" w:rsidR="003102A5" w:rsidRDefault="00000000">
      <w:r>
        <w:t>Purpose. Enable interchangeable payment gateways and fee policies without client modification.</w:t>
      </w:r>
    </w:p>
    <w:p w14:paraId="725D42A3" w14:textId="77777777" w:rsidR="003102A5" w:rsidRDefault="00000000">
      <w:r>
        <w:t>Patterns. Strategy (fee), Factory (gateway), Adapter (normalise APIs), Observer (audit); guided by GoF (Gamma et al., 1994).</w:t>
      </w:r>
    </w:p>
    <w:p w14:paraId="7ED26B03" w14:textId="77777777" w:rsidR="003102A5" w:rsidRDefault="00000000">
      <w:r>
        <w:lastRenderedPageBreak/>
        <w:t>Challenges. Avoiding God objects; maintaining test isolation via DIP and mocking interfaces.</w:t>
      </w:r>
    </w:p>
    <w:p w14:paraId="69603F68" w14:textId="77777777" w:rsidR="003102A5" w:rsidRDefault="00000000">
      <w:r>
        <w:t>Evidence. [[ Repo link / Appendix A ]]</w:t>
      </w:r>
    </w:p>
    <w:p w14:paraId="2C6D7996" w14:textId="77777777" w:rsidR="003102A5" w:rsidRDefault="00000000">
      <w:r>
        <w:t>Learning demonstrated. Pattern intent, flexibility, testability.</w:t>
      </w:r>
    </w:p>
    <w:p w14:paraId="7EDE2C2E" w14:textId="77777777" w:rsidR="003102A5" w:rsidRDefault="00000000">
      <w:r>
        <w:rPr>
          <w:b/>
          <w:sz w:val="26"/>
        </w:rPr>
        <w:t>A3. Case Study — Security &amp; Architecture Design</w:t>
      </w:r>
    </w:p>
    <w:p w14:paraId="2C51E5DC" w14:textId="77777777" w:rsidR="003102A5" w:rsidRDefault="00000000">
      <w:r>
        <w:t>Context. Multi‑tenant analytics dashboard ingesting user uploads.</w:t>
      </w:r>
    </w:p>
    <w:p w14:paraId="5CEBFA38" w14:textId="77777777" w:rsidR="003102A5" w:rsidRDefault="00000000">
      <w:r>
        <w:t>Analysis. Assets/actors/trust boundaries; threats (injection, broken access control, insecure deserialisation, logging failures). Mitigations: content‑type checks, schema validation, row limits, rate limiting, RBAC, segregated storage, encryption in transit/at rest, parameterised queries, redacted logs—guided by OWASP Top 10 and ASVS (OWASP, 2021; OWASP ASVS, 2025).</w:t>
      </w:r>
    </w:p>
    <w:p w14:paraId="63EB1341" w14:textId="77777777" w:rsidR="003102A5" w:rsidRDefault="00000000">
      <w:r>
        <w:t>Decisions. Validation gateway; centralised audit logging; structured error handling; least‑privileged data plane.</w:t>
      </w:r>
    </w:p>
    <w:p w14:paraId="4C4E8771" w14:textId="77777777" w:rsidR="003102A5" w:rsidRDefault="00000000">
      <w:r>
        <w:t>Outcome. Reduced exposure from injection and cross‑tenant leakage; improved observability.</w:t>
      </w:r>
    </w:p>
    <w:p w14:paraId="7BAEEA4A" w14:textId="77777777" w:rsidR="003102A5" w:rsidRDefault="00000000">
      <w:r>
        <w:t>Evidence. [[ PDF / Appendix B ]]</w:t>
      </w:r>
    </w:p>
    <w:p w14:paraId="005F1CD6" w14:textId="77777777" w:rsidR="003102A5" w:rsidRDefault="00000000">
      <w:r>
        <w:rPr>
          <w:b/>
          <w:sz w:val="26"/>
        </w:rPr>
        <w:t>A4. Case Study — AI/Data Pipeline Design</w:t>
      </w:r>
    </w:p>
    <w:p w14:paraId="5BE1EC45" w14:textId="77777777" w:rsidR="003102A5" w:rsidRDefault="00000000">
      <w:r>
        <w:t>Context. Recommendation service combining clickstream + content metadata.</w:t>
      </w:r>
    </w:p>
    <w:p w14:paraId="05320B8E" w14:textId="77777777" w:rsidR="003102A5" w:rsidRDefault="00000000">
      <w:r>
        <w:t>Design. Config‑driven experiment runner; feature extraction; model abstraction for classical ML vs deep learning; standard evaluation metrics; reproducible datasets. MLflow for experiment/registry; consideration of feature store concepts for training/serving symmetry (MLflow Docs, 2025; Feast Docs, 2025).</w:t>
      </w:r>
    </w:p>
    <w:p w14:paraId="6BF20B71" w14:textId="77777777" w:rsidR="003102A5" w:rsidRDefault="00000000">
      <w:r>
        <w:t>Learning demonstrated. Modularity, reproducibility, and controlled variability.</w:t>
      </w:r>
    </w:p>
    <w:p w14:paraId="3FADEB7B" w14:textId="77777777" w:rsidR="003102A5" w:rsidRDefault="00000000">
      <w:r>
        <w:t>Evidence. [[ Docs / Appendix C ]]</w:t>
      </w:r>
    </w:p>
    <w:p w14:paraId="0E2FAA39" w14:textId="77777777" w:rsidR="003102A5" w:rsidRDefault="00000000">
      <w:r>
        <w:rPr>
          <w:b/>
          <w:sz w:val="26"/>
        </w:rPr>
        <w:t>A5. Capstone — “Modular Sales Insights Platform” (Detailed)</w:t>
      </w:r>
    </w:p>
    <w:p w14:paraId="55A20CB2" w14:textId="77777777" w:rsidR="003102A5" w:rsidRDefault="00000000">
      <w:r>
        <w:t>Problem. Secure, scalable ingestion of sales transactions; business rules and dashboards/alerts for retailers.</w:t>
      </w:r>
    </w:p>
    <w:p w14:paraId="44CDE726" w14:textId="77777777" w:rsidR="003102A5" w:rsidRDefault="00000000">
      <w:r>
        <w:t>Non‑functional requirements. Reliability, observability, changeability, and security (least privilege, data segregation, auditability).</w:t>
      </w:r>
    </w:p>
    <w:p w14:paraId="2A297885" w14:textId="77777777" w:rsidR="003102A5" w:rsidRDefault="00000000">
      <w:r>
        <w:t xml:space="preserve">Architecture (Hexagonal). Domain: Entities (Order, Customer, Product), Value Objects (Money, Percentage), Domain Services (DiscountPolicy). Application: Use cases (PlaceOrder, RefundOrder), DTOs, orchestrations. Adapters: REST API (FastAPI); Persistence (SQLAlchemy); </w:t>
      </w:r>
      <w:r>
        <w:lastRenderedPageBreak/>
        <w:t>reporting (pandas); messaging (in‑memory events) (FastAPI Docs, 2025; SQLAlchemy Docs, 2025).</w:t>
      </w:r>
    </w:p>
    <w:p w14:paraId="14014662" w14:textId="77777777" w:rsidR="003102A5" w:rsidRDefault="00000000">
      <w:r>
        <w:t>Cross‑cutting. Structured logging, configuration, validation (Pydantic‑style models) (Pydantic Docs, 2025).</w:t>
      </w:r>
    </w:p>
    <w:p w14:paraId="0FF5DCB2" w14:textId="77777777" w:rsidR="003102A5" w:rsidRDefault="00000000">
      <w:r>
        <w:t>Security. AuthN/AuthZ with JWT; role/tenant checks; typed request models; tenant partitions; encryption at rest; ASVS verification guidance (OWASP ASVS, 2025).</w:t>
      </w:r>
    </w:p>
    <w:p w14:paraId="662049E4" w14:textId="77777777" w:rsidR="003102A5" w:rsidRDefault="00000000">
      <w:r>
        <w:t>Resilience. Timeouts, retries (jitter), idempotent handlers; monitored via structured logs.</w:t>
      </w:r>
    </w:p>
    <w:p w14:paraId="7FBF96A0" w14:textId="77777777" w:rsidR="003102A5" w:rsidRDefault="00000000">
      <w:r>
        <w:t>Implementation &amp; Testing. Python 3.11, FastAPI, SQLAlchemy, pytest; CI via [[ GitHub Actions ]] (FastAPI Docs, 2025; SQLAlchemy Docs, 2025; pytest Docs, 2025).</w:t>
      </w:r>
    </w:p>
    <w:p w14:paraId="7402806B" w14:textId="77777777" w:rsidR="003102A5" w:rsidRDefault="00000000">
      <w:r>
        <w:t>Results. Median API latency [[ 45–70 ms ]] locally; configuration‑driven policies ease A/B testing; experiments tracked with MLflow (MLflow Docs, 2025).</w:t>
      </w:r>
    </w:p>
    <w:p w14:paraId="1F05724C" w14:textId="77777777" w:rsidR="003102A5" w:rsidRDefault="00000000">
      <w:r>
        <w:t>Lessons. Strict boundaries cut future refactors; configuration‑driven policies ease experimentation.</w:t>
      </w:r>
    </w:p>
    <w:p w14:paraId="2EFE96F7" w14:textId="77777777" w:rsidR="003102A5" w:rsidRDefault="00000000">
      <w:r>
        <w:t>Evidence/Repo. [[ Git URL / Appendix D ]]</w:t>
      </w:r>
    </w:p>
    <w:p w14:paraId="77F254E6" w14:textId="77777777" w:rsidR="003102A5" w:rsidRDefault="00000000">
      <w:r>
        <w:rPr>
          <w:b/>
          <w:sz w:val="32"/>
        </w:rPr>
        <w:t>4. Reflection on Skill Development</w:t>
      </w:r>
    </w:p>
    <w:p w14:paraId="26AFED39" w14:textId="77777777" w:rsidR="003102A5" w:rsidRDefault="00000000">
      <w:r>
        <w:rPr>
          <w:b/>
          <w:sz w:val="26"/>
        </w:rPr>
        <w:t>4.1 Academic Skills</w:t>
      </w:r>
    </w:p>
    <w:p w14:paraId="462C6C50" w14:textId="77777777" w:rsidR="003102A5" w:rsidRDefault="00000000">
      <w:r>
        <w:t>Critical thinking &amp; analysis. I weighed inheritance vs composition, choosing composition after identifying tight coupling and LSP risks—consistent with GoF. Architectural choice (modular monolith vs microservices) favoured a hexagonal monolith to limit distributed complexity while keeping seams for future extraction (Gamma et al., 1994; Martin, 2017).</w:t>
      </w:r>
    </w:p>
    <w:p w14:paraId="31441347" w14:textId="77777777" w:rsidR="003102A5" w:rsidRDefault="00000000">
      <w:r>
        <w:t>Problem‑solving &amp; refactoring. A pricing module showed feature envy and high cyclomatic complexity. Extracting Value Objects and Strategy reduced branching and improved testability; coverage increased using pytest fixtures and property tests (pytest Docs, 2025).</w:t>
      </w:r>
    </w:p>
    <w:p w14:paraId="1BA458F2" w14:textId="77777777" w:rsidR="003102A5" w:rsidRDefault="00000000">
      <w:r>
        <w:t>Research &amp; self‑study. I leaned on OWASP Top 10/ASVS for secure coding checks and Microsoft SDL Threat Modelling for design‑time security, complementing module readings (Python Cookbook; Discovering Cybersecurity; Responsible AI) (OWASP, 2021; OWASP ASVS, 2025; Microsoft SDL, 2022; Beazley &amp; Jones, 2013; Nielson, 2023; Manure et al., 2023).</w:t>
      </w:r>
    </w:p>
    <w:p w14:paraId="0AF500B4" w14:textId="77777777" w:rsidR="003102A5" w:rsidRDefault="00000000">
      <w:r>
        <w:rPr>
          <w:b/>
          <w:sz w:val="26"/>
        </w:rPr>
        <w:t>4.2 Employability Skills</w:t>
      </w:r>
    </w:p>
    <w:p w14:paraId="7428A31F" w14:textId="77777777" w:rsidR="003102A5" w:rsidRDefault="00000000">
      <w:r>
        <w:t>Time management. Weekly sprints mapped tasks to design → implement → test → document; buffers absorbed integration uncertainty.</w:t>
      </w:r>
    </w:p>
    <w:p w14:paraId="5606E322" w14:textId="77777777" w:rsidR="003102A5" w:rsidRDefault="00000000">
      <w:r>
        <w:lastRenderedPageBreak/>
        <w:t>Communication &amp; literacy. I produced ADRs and diagrams; arguing for Argon2 with references to the PHC results and RFC helped decisions land in peer reviews (PHC/Argon2, 2015; RFC 9106, 2021).</w:t>
      </w:r>
    </w:p>
    <w:p w14:paraId="61446764" w14:textId="77777777" w:rsidR="003102A5" w:rsidRDefault="00000000">
      <w:r>
        <w:t>Resilience &amp; interpersonal skills. Intermittent timeouts prompted calm debugging and idempotent operations—turning a blocker into robustness.</w:t>
      </w:r>
    </w:p>
    <w:p w14:paraId="183F5194" w14:textId="77777777" w:rsidR="003102A5" w:rsidRDefault="00000000">
      <w:r>
        <w:rPr>
          <w:b/>
          <w:sz w:val="26"/>
        </w:rPr>
        <w:t>4.3 Learning Approach &amp; Resource Utilization (brief)</w:t>
      </w:r>
    </w:p>
    <w:p w14:paraId="502963F8" w14:textId="77777777" w:rsidR="003102A5" w:rsidRDefault="00000000">
      <w:r>
        <w:t>During collaborative discussion (Unit 7), I presented a secure user management solution with bcrypt; after studying classmates’ refactoring and the literature, I migrated to Argon2, a memory‑hard algorithm recommended in academic/professional guidance (PHC/Argon2, 2015; RFC 9106, 2021).</w:t>
      </w:r>
    </w:p>
    <w:p w14:paraId="5EED0CB0" w14:textId="77777777" w:rsidR="003102A5" w:rsidRDefault="00000000">
      <w:r>
        <w:t>I used lecture casts and readings each unit (Python Cookbook; Discovering Cybersecurity; Introduction to Responsible AI) to consolidate theory, and practised Python coding in PyCharm to make concepts stick (Beazley &amp; Jones, 2013; Nielson, 2023; Manure et al., 2023; JetBrains PyCharm, 2025).</w:t>
      </w:r>
    </w:p>
    <w:p w14:paraId="470CB5D9" w14:textId="77777777" w:rsidR="003102A5" w:rsidRDefault="00000000">
      <w:r>
        <w:t>As a non‑native speaker, tools like Microsoft Copilot and search helped locate standards and clarify terminology; I validated outputs against primary sources (OWASP, 2021; Microsoft Learn, 2025).</w:t>
      </w:r>
    </w:p>
    <w:p w14:paraId="4DA90D9D" w14:textId="77777777" w:rsidR="003102A5" w:rsidRDefault="00000000">
      <w:r>
        <w:rPr>
          <w:b/>
          <w:sz w:val="32"/>
        </w:rPr>
        <w:t>5. Professional Development Plan (PDP)</w:t>
      </w:r>
    </w:p>
    <w:p w14:paraId="697C1A52" w14:textId="77777777" w:rsidR="003102A5" w:rsidRDefault="00000000">
      <w:r>
        <w:rPr>
          <w:b/>
          <w:sz w:val="26"/>
        </w:rPr>
        <w:t>5.1 Strengths &amp; Areas for Improvement</w:t>
      </w:r>
    </w:p>
    <w:p w14:paraId="590AB745" w14:textId="77777777" w:rsidR="003102A5" w:rsidRDefault="00000000">
      <w:r>
        <w:t>Strengths. Pattern selection based on intent/trade‑offs (GoF), clean boundaries (hexagonal), and solid testing discipline (Gamma et al., 1994; Martin, 2017).</w:t>
      </w:r>
    </w:p>
    <w:p w14:paraId="0B25B919" w14:textId="77777777" w:rsidR="003102A5" w:rsidRDefault="00000000">
      <w:r>
        <w:t>Areas for improvement. Security reviews (deeper ASVS mapping; automated scanning; regular threat models); distributed systems (saga/outbox); MLOps (experiment tracking/registry via MLflow) (OWASP ASVS, 2025; Microsoft SDL, 2022; MLflow Docs, 2025).</w:t>
      </w:r>
    </w:p>
    <w:p w14:paraId="413A9E31" w14:textId="77777777" w:rsidR="003102A5" w:rsidRDefault="00000000">
      <w:r>
        <w:rPr>
          <w:b/>
          <w:sz w:val="26"/>
        </w:rPr>
        <w:t>5.2 Future Goals</w:t>
      </w:r>
    </w:p>
    <w:p w14:paraId="00D39ACA" w14:textId="77777777" w:rsidR="003102A5" w:rsidRDefault="00000000">
      <w:r>
        <w:t>0–3 months. Complete a secure coding course; integrate ASVS‑backed checks and basic STRIDE threat modelling in a demo app (OWASP ASVS, 2025; Microsoft SDL, 2022).</w:t>
      </w:r>
    </w:p>
    <w:p w14:paraId="50E5FAD1" w14:textId="77777777" w:rsidR="003102A5" w:rsidRDefault="00000000">
      <w:r>
        <w:t>3–12 months. Build an event‑driven app with saga/outbox; deploy on containers; benchmark resilience.</w:t>
      </w:r>
    </w:p>
    <w:p w14:paraId="21D4100D" w14:textId="77777777" w:rsidR="003102A5" w:rsidRDefault="00000000">
      <w:r>
        <w:t>12+ months. Contribute to open‑source (patterns/security); earn a security or cloud cert; lead a small team project.</w:t>
      </w:r>
    </w:p>
    <w:p w14:paraId="5F7885C8" w14:textId="77777777" w:rsidR="003102A5" w:rsidRDefault="00000000">
      <w:r>
        <w:rPr>
          <w:b/>
          <w:sz w:val="26"/>
        </w:rPr>
        <w:lastRenderedPageBreak/>
        <w:t>5.3 Action Plan (timelines &amp; resources)</w:t>
      </w:r>
    </w:p>
    <w:p w14:paraId="2DB1394D" w14:textId="77777777" w:rsidR="003102A5" w:rsidRDefault="00000000">
      <w:r>
        <w:t>Goal 1: Strengthen secure coding &amp; reviews.</w:t>
      </w:r>
    </w:p>
    <w:p w14:paraId="02F00B2E" w14:textId="77777777" w:rsidR="003102A5" w:rsidRDefault="00000000">
      <w:r>
        <w:t>Actions. Map a project to ASVS v5.0; run threat modelling with Microsoft SDL; add CI checks (OWASP ASVS, 2025; Microsoft SDL, 2022).</w:t>
      </w:r>
    </w:p>
    <w:p w14:paraId="4DE98CC5" w14:textId="77777777" w:rsidR="003102A5" w:rsidRDefault="00000000">
      <w:r>
        <w:t>Timeline. [[ Feb–Mar 2026 ]]  Evidence. Repo + ADRs; verification checklist; threat model report.</w:t>
      </w:r>
    </w:p>
    <w:p w14:paraId="13CA5017" w14:textId="77777777" w:rsidR="003102A5" w:rsidRDefault="00000000">
      <w:r>
        <w:t>Goal 2: Practice distributed resilience.</w:t>
      </w:r>
    </w:p>
    <w:p w14:paraId="536F49C3" w14:textId="77777777" w:rsidR="003102A5" w:rsidRDefault="00000000">
      <w:r>
        <w:t>Actions. Prototype saga/outbox with retries/circuit‑breakers; chaos testing.  Timeline. [[ Apr–Jun 2026 ]]  Evidence. Benchmarks; failure matrix; post‑mortems.</w:t>
      </w:r>
    </w:p>
    <w:p w14:paraId="6F6D9BA6" w14:textId="77777777" w:rsidR="003102A5" w:rsidRDefault="00000000">
      <w:r>
        <w:t>Goal 3: Establish MLOps foundations.</w:t>
      </w:r>
    </w:p>
    <w:p w14:paraId="5AF91907" w14:textId="77777777" w:rsidR="003102A5" w:rsidRDefault="00000000">
      <w:r>
        <w:t>Actions. Adopt MLflow for experiments/registry; explore feature store patterns for training/serving harmony (MLflow Docs, 2025; Feast Docs, 2025).</w:t>
      </w:r>
    </w:p>
    <w:p w14:paraId="214206C6" w14:textId="77777777" w:rsidR="003102A5" w:rsidRDefault="00000000">
      <w:r>
        <w:t>Timeline. [[ Jul–Sep 2026 ]]  Evidence. Tracked runs; model version transitions; reproducible pipelines.</w:t>
      </w:r>
    </w:p>
    <w:p w14:paraId="7D0A9C9D" w14:textId="77777777" w:rsidR="003102A5" w:rsidRDefault="00000000">
      <w:r>
        <w:rPr>
          <w:b/>
          <w:sz w:val="32"/>
        </w:rPr>
        <w:t>6. Conclusion</w:t>
      </w:r>
    </w:p>
    <w:p w14:paraId="1B272634" w14:textId="77777777" w:rsidR="003102A5" w:rsidRDefault="00000000">
      <w:r>
        <w:t>This portfolio shows how advanced OOP, secure coding, and architectural thinking can produce systems that are robust, maintainable, and adaptable to AI/data use cases. The artefacts and reflections demonstrate evidence‑based decision‑making—from pattern selection and boundary setting to adopting Argon2 and applying ASVS/STRIDE. The PDP outlines concrete steps to deepen capability across security, distributed systems, and MLOps.</w:t>
      </w:r>
    </w:p>
    <w:p w14:paraId="47F15369" w14:textId="77777777" w:rsidR="003102A5" w:rsidRDefault="00000000">
      <w:r>
        <w:rPr>
          <w:b/>
          <w:sz w:val="32"/>
        </w:rPr>
        <w:t>7. References</w:t>
      </w:r>
    </w:p>
    <w:p w14:paraId="1019B7AB" w14:textId="77777777" w:rsidR="003102A5" w:rsidRDefault="00000000">
      <w:r>
        <w:t>- OWASP Top 10: 2021 — https://owasp.org/Top10/2021/</w:t>
      </w:r>
    </w:p>
    <w:p w14:paraId="45A7CA67" w14:textId="77777777" w:rsidR="003102A5" w:rsidRDefault="00000000">
      <w:r>
        <w:t>- OWASP ASVS v5.0 — https://owasp.org/www-project-application-security-verification-standard/</w:t>
      </w:r>
    </w:p>
    <w:p w14:paraId="510C9C7F" w14:textId="77777777" w:rsidR="003102A5" w:rsidRDefault="00000000">
      <w:r>
        <w:t>- Microsoft SDL Threat Modelling — https://www.microsoft.com/en-us/securityengineering/sdl/threatmodeling</w:t>
      </w:r>
    </w:p>
    <w:p w14:paraId="6BDC8E20" w14:textId="77777777" w:rsidR="003102A5" w:rsidRDefault="00000000">
      <w:r>
        <w:t>- Gamma, E., Helm, R., Johnson, R., Vlissides, J. (1994). Design Patterns. Addison‑Wesley.</w:t>
      </w:r>
    </w:p>
    <w:p w14:paraId="0745413D" w14:textId="77777777" w:rsidR="003102A5" w:rsidRDefault="00000000">
      <w:r>
        <w:t>- Martin, R.C. (2017). Clean Architecture. Prentice Hall.</w:t>
      </w:r>
    </w:p>
    <w:p w14:paraId="06E46BF3" w14:textId="77777777" w:rsidR="003102A5" w:rsidRDefault="00000000">
      <w:r>
        <w:t>- Biryukov, A., Dinu, D., Khovratovich, D. (2016). Argon2: New Generation of Memory‑Hard Functions — https://orbilu.uni.lu/bitstream/10993/31652/1/Argon2ESP.pdf</w:t>
      </w:r>
    </w:p>
    <w:p w14:paraId="040DF1E4" w14:textId="77777777" w:rsidR="003102A5" w:rsidRDefault="00000000">
      <w:r>
        <w:lastRenderedPageBreak/>
        <w:t>- RFC 9106: Argon2 Memory‑Hard Function — https://www.rfc-editor.org/rfc/rfc9106.pdf</w:t>
      </w:r>
    </w:p>
    <w:p w14:paraId="26057C8A" w14:textId="77777777" w:rsidR="003102A5" w:rsidRDefault="00000000">
      <w:r>
        <w:t>- FastAPI Documentation — https://fastapi.tiangolo.com/</w:t>
      </w:r>
    </w:p>
    <w:p w14:paraId="3B878343" w14:textId="77777777" w:rsidR="003102A5" w:rsidRDefault="00000000">
      <w:r>
        <w:t>- SQLAlchemy Documentation — https://docs.sqlalchemy.org/</w:t>
      </w:r>
    </w:p>
    <w:p w14:paraId="58C385F8" w14:textId="77777777" w:rsidR="003102A5" w:rsidRDefault="00000000">
      <w:r>
        <w:t>- pytest Documentation — https://docs.pytest.org/</w:t>
      </w:r>
    </w:p>
    <w:p w14:paraId="5FF752C2" w14:textId="77777777" w:rsidR="003102A5" w:rsidRDefault="00000000">
      <w:r>
        <w:t>- Pydantic Models Documentation — https://docs.pydantic.dev/latest/concepts/models/</w:t>
      </w:r>
    </w:p>
    <w:p w14:paraId="2E2ECA3F" w14:textId="77777777" w:rsidR="003102A5" w:rsidRDefault="00000000">
      <w:r>
        <w:t>- MLflow Documentation — https://mlflow.org/docs/latest/</w:t>
      </w:r>
    </w:p>
    <w:p w14:paraId="5411B0B2" w14:textId="77777777" w:rsidR="003102A5" w:rsidRDefault="00000000">
      <w:r>
        <w:t>- Feast Feature Store Docs — https://docs.feast.dev/</w:t>
      </w:r>
    </w:p>
    <w:p w14:paraId="45B48663" w14:textId="77777777" w:rsidR="003102A5" w:rsidRDefault="00000000">
      <w:r>
        <w:t>- Beazley, D., Jones, B.K. (2013). Python Cookbook (3e). O’Reilly Media.</w:t>
      </w:r>
    </w:p>
    <w:p w14:paraId="3994691E" w14:textId="77777777" w:rsidR="003102A5" w:rsidRDefault="00000000">
      <w:r>
        <w:t>- Nielson, S.J. (2023). Discovering Cybersecurity. Apress/Springer — https://link.springer.com/book/10.1007/978-1-4842-9560-1</w:t>
      </w:r>
    </w:p>
    <w:p w14:paraId="0D9185FC" w14:textId="77777777" w:rsidR="003102A5" w:rsidRDefault="00000000">
      <w:r>
        <w:t>- Manure, A., Bengani, S., Saravanan, S. (2023). Introduction to Responsible AI. Apress/Springer — https://link.springer.com/book/10.1007/978-1-4842-9982-1</w:t>
      </w:r>
    </w:p>
    <w:p w14:paraId="22CDBF1C" w14:textId="77777777" w:rsidR="003102A5" w:rsidRDefault="00000000">
      <w:r>
        <w:t>- Microsoft Learn — Explore Responsible AI — https://learn.microsoft.com/en-us/training/modules/responsible-ai/</w:t>
      </w:r>
    </w:p>
    <w:p w14:paraId="4A294F3E" w14:textId="77777777" w:rsidR="003102A5" w:rsidRDefault="00000000">
      <w:r>
        <w:t>- JetBrains PyCharm — https://www.jetbrains.com/pycharm/</w:t>
      </w:r>
    </w:p>
    <w:p w14:paraId="2DD1CE99" w14:textId="77777777" w:rsidR="003102A5" w:rsidRDefault="00000000">
      <w:r>
        <w:rPr>
          <w:b/>
          <w:sz w:val="32"/>
        </w:rPr>
        <w:t>8. Appendices (optional)</w:t>
      </w:r>
    </w:p>
    <w:p w14:paraId="64EF8B96" w14:textId="77777777" w:rsidR="003102A5" w:rsidRDefault="00000000">
      <w:r>
        <w:t>Appendix A — Key code listings (redact secrets)</w:t>
      </w:r>
    </w:p>
    <w:p w14:paraId="54CAE8AF" w14:textId="77777777" w:rsidR="003102A5" w:rsidRDefault="00000000">
      <w:r>
        <w:t>Appendix B — Architecture &amp; sequence diagrams (PNG/SVG)</w:t>
      </w:r>
    </w:p>
    <w:p w14:paraId="074D70B2" w14:textId="77777777" w:rsidR="003102A5" w:rsidRDefault="00000000">
      <w:r>
        <w:t>Appendix C — Test coverage &amp; benchmark reports</w:t>
      </w:r>
    </w:p>
    <w:p w14:paraId="40E91E74" w14:textId="77777777" w:rsidR="003102A5" w:rsidRDefault="00000000">
      <w:r>
        <w:t>Appendix D — ADRs, Kanban snapshots, meeting notes</w:t>
      </w:r>
    </w:p>
    <w:sectPr w:rsidR="003102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569383">
    <w:abstractNumId w:val="8"/>
  </w:num>
  <w:num w:numId="2" w16cid:durableId="1547638840">
    <w:abstractNumId w:val="6"/>
  </w:num>
  <w:num w:numId="3" w16cid:durableId="1605844277">
    <w:abstractNumId w:val="5"/>
  </w:num>
  <w:num w:numId="4" w16cid:durableId="283273770">
    <w:abstractNumId w:val="4"/>
  </w:num>
  <w:num w:numId="5" w16cid:durableId="1384139595">
    <w:abstractNumId w:val="7"/>
  </w:num>
  <w:num w:numId="6" w16cid:durableId="1577856813">
    <w:abstractNumId w:val="3"/>
  </w:num>
  <w:num w:numId="7" w16cid:durableId="2014911833">
    <w:abstractNumId w:val="2"/>
  </w:num>
  <w:num w:numId="8" w16cid:durableId="185407160">
    <w:abstractNumId w:val="1"/>
  </w:num>
  <w:num w:numId="9" w16cid:durableId="134605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2A5"/>
    <w:rsid w:val="00326F90"/>
    <w:rsid w:val="003E2C54"/>
    <w:rsid w:val="009A6CAF"/>
    <w:rsid w:val="00AA1D8D"/>
    <w:rsid w:val="00B47730"/>
    <w:rsid w:val="00CB0664"/>
    <w:rsid w:val="00DB2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9A791"/>
  <w14:defaultImageDpi w14:val="300"/>
  <w15:docId w15:val="{5348A147-3905-40AF-B03E-67A7AF3D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2417</Words>
  <Characters>13781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Ghorbani, Payman</cp:lastModifiedBy>
  <cp:revision>3</cp:revision>
  <dcterms:created xsi:type="dcterms:W3CDTF">2026-01-11T11:12:00Z</dcterms:created>
  <dcterms:modified xsi:type="dcterms:W3CDTF">2026-01-11T11:13:00Z</dcterms:modified>
  <cp:category/>
</cp:coreProperties>
</file>