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F7C1" w14:textId="77777777" w:rsidR="006F1E81" w:rsidRPr="00CC0529" w:rsidRDefault="006F1E81" w:rsidP="006F1E81">
      <w:r w:rsidRPr="00CC0529">
        <w:t xml:space="preserve">In my first post about cloud-based IT Service Management (ITSM), I talked about how virtualisation and service-oriented architectures have changed the way businesses use IT. I used Lingel (2022), Salla (2025), and Microsoft (2025) to make the case that moving to the cloud makes things more scalable, lowers infrastructure costs, and encourages innovation. This is especially true in healthcare, where it helps with secure data handling and telemedicine. </w:t>
      </w:r>
      <w:r w:rsidRPr="00CC0529">
        <w:br/>
        <w:t xml:space="preserve">Nikola's answer added a lot of depth. She was right to say that moving to the cloud isn't always a good idea. Her examples of legal restrictions, cost uncertainty, and architectural errors—backed by Sundelin et al. (2025), Khajeh-Hosseini et al. (2010), and Gartner (2024)—called into question the idea that moving to the cloud is always the best choice. This made me think again about how complicated migration decisions can be, especially in industries that have a lot of rules to follow. </w:t>
      </w:r>
      <w:r w:rsidRPr="00CC0529">
        <w:br/>
        <w:t xml:space="preserve">Unit 1's overview of computing fields helped put cloud ITSM in the context of the Enterprise IT Body of Knowledge (EITBOK), which focusses on governance, service delivery, and infrastructure strategy. Nikola's criticism fits with this, highlighting the need for strong governance models and risk assessment. Unit 2's focus on logic and set theory reminds </w:t>
      </w:r>
      <w:proofErr w:type="gramStart"/>
      <w:r w:rsidRPr="00CC0529">
        <w:t>us</w:t>
      </w:r>
      <w:proofErr w:type="gramEnd"/>
      <w:r w:rsidRPr="00CC0529">
        <w:t xml:space="preserve"> that decisions about cloud architecture must be based on logic and modelled in a systematic way, especially when looking at dependencies and data locality constraints. </w:t>
      </w:r>
      <w:r w:rsidRPr="00CC0529">
        <w:br/>
        <w:t xml:space="preserve">Cloud ITSM uses automated workflows and scalable data handling, which is in line with Unit 3's focus on algorithms and data structures. These are the building blocks of effective scheduling, managing electronic health records, and communicating between departments in healthcare. Finally, Unit 4's SDLC principles stress how important it is to use sustainable design and iterative planning when moving to the cloud. The Lincoln Financial Group case (McKinsey, 2024) is a good example of this. It shows that long-term planning and getting stakeholders involved are both necessary for a successful transformation. </w:t>
      </w:r>
      <w:r w:rsidRPr="00CC0529">
        <w:br/>
        <w:t>In short, cloud ITSM has some clear benefits, but Nikola's feedback and the unit content show that it needs to be carefully considered before being used. Not just technological promise should guide migration. It should also be based on strategic fit, regulatory context, and sustainable design.</w:t>
      </w:r>
    </w:p>
    <w:p w14:paraId="023A4CD5" w14:textId="77777777" w:rsidR="000227EF" w:rsidRDefault="000227EF"/>
    <w:p w14:paraId="34A9C756" w14:textId="77777777" w:rsidR="00A6229F" w:rsidRDefault="00A6229F" w:rsidP="00A6229F">
      <w:pPr>
        <w:pStyle w:val="Footer"/>
      </w:pPr>
      <w:r w:rsidRPr="0082330F">
        <w:t xml:space="preserve">¹ EITBOK refers to the </w:t>
      </w:r>
      <w:r w:rsidRPr="0082330F">
        <w:rPr>
          <w:i/>
          <w:iCs/>
        </w:rPr>
        <w:t>Enterprise IT Body of Knowledge</w:t>
      </w:r>
      <w:r w:rsidRPr="0082330F">
        <w:t>, introduced in Unit 1. Its relevance continues in Unit 2, where logical constructs such as Boolean Algebra and Set Theory underpin the automation and decision-making processes within cloud-based ITSM platforms.</w:t>
      </w:r>
    </w:p>
    <w:p w14:paraId="7050F007" w14:textId="77777777" w:rsidR="00A6229F" w:rsidRDefault="00A6229F" w:rsidP="00A6229F">
      <w:pPr>
        <w:pStyle w:val="Footer"/>
      </w:pPr>
    </w:p>
    <w:p w14:paraId="6C1528D0" w14:textId="77777777" w:rsidR="00A6229F" w:rsidRPr="00ED74F4" w:rsidRDefault="00A6229F" w:rsidP="00A6229F">
      <w:pPr>
        <w:pStyle w:val="Footer"/>
      </w:pPr>
      <w:r>
        <w:t>²</w:t>
      </w:r>
      <w:r w:rsidRPr="00ED74F4">
        <w:t>This quote reflects learning from Unit 3 (</w:t>
      </w:r>
      <w:r w:rsidRPr="00ED74F4">
        <w:rPr>
          <w:i/>
          <w:iCs/>
        </w:rPr>
        <w:t>Principles of Computer Science</w:t>
      </w:r>
      <w:r w:rsidRPr="00ED74F4">
        <w:t>), where algorithms and data structures underpin automation in cloud-based ITSM. It also aligns with Unit 4 (</w:t>
      </w:r>
      <w:r w:rsidRPr="00ED74F4">
        <w:rPr>
          <w:i/>
          <w:iCs/>
        </w:rPr>
        <w:t>Software Engineering</w:t>
      </w:r>
      <w:r w:rsidRPr="00ED74F4">
        <w:t>), which emphasises scalable design and lifecycle management in enterprise systems.</w:t>
      </w:r>
    </w:p>
    <w:p w14:paraId="471967A4" w14:textId="77777777" w:rsidR="00A6229F" w:rsidRDefault="00A6229F"/>
    <w:sectPr w:rsidR="00A62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E81"/>
    <w:rsid w:val="000227EF"/>
    <w:rsid w:val="00197309"/>
    <w:rsid w:val="00375D1C"/>
    <w:rsid w:val="005F306C"/>
    <w:rsid w:val="006F1E81"/>
    <w:rsid w:val="00A622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943D"/>
  <w15:chartTrackingRefBased/>
  <w15:docId w15:val="{8FD4C2CE-CFC4-4666-9B4A-12DA61030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E81"/>
  </w:style>
  <w:style w:type="paragraph" w:styleId="Heading1">
    <w:name w:val="heading 1"/>
    <w:basedOn w:val="Normal"/>
    <w:next w:val="Normal"/>
    <w:link w:val="Heading1Char"/>
    <w:uiPriority w:val="9"/>
    <w:qFormat/>
    <w:rsid w:val="006F1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E81"/>
    <w:rPr>
      <w:rFonts w:eastAsiaTheme="majorEastAsia" w:cstheme="majorBidi"/>
      <w:color w:val="272727" w:themeColor="text1" w:themeTint="D8"/>
    </w:rPr>
  </w:style>
  <w:style w:type="paragraph" w:styleId="Title">
    <w:name w:val="Title"/>
    <w:basedOn w:val="Normal"/>
    <w:next w:val="Normal"/>
    <w:link w:val="TitleChar"/>
    <w:uiPriority w:val="10"/>
    <w:qFormat/>
    <w:rsid w:val="006F1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E81"/>
    <w:pPr>
      <w:spacing w:before="160"/>
      <w:jc w:val="center"/>
    </w:pPr>
    <w:rPr>
      <w:i/>
      <w:iCs/>
      <w:color w:val="404040" w:themeColor="text1" w:themeTint="BF"/>
    </w:rPr>
  </w:style>
  <w:style w:type="character" w:customStyle="1" w:styleId="QuoteChar">
    <w:name w:val="Quote Char"/>
    <w:basedOn w:val="DefaultParagraphFont"/>
    <w:link w:val="Quote"/>
    <w:uiPriority w:val="29"/>
    <w:rsid w:val="006F1E81"/>
    <w:rPr>
      <w:i/>
      <w:iCs/>
      <w:color w:val="404040" w:themeColor="text1" w:themeTint="BF"/>
    </w:rPr>
  </w:style>
  <w:style w:type="paragraph" w:styleId="ListParagraph">
    <w:name w:val="List Paragraph"/>
    <w:basedOn w:val="Normal"/>
    <w:uiPriority w:val="34"/>
    <w:qFormat/>
    <w:rsid w:val="006F1E81"/>
    <w:pPr>
      <w:ind w:left="720"/>
      <w:contextualSpacing/>
    </w:pPr>
  </w:style>
  <w:style w:type="character" w:styleId="IntenseEmphasis">
    <w:name w:val="Intense Emphasis"/>
    <w:basedOn w:val="DefaultParagraphFont"/>
    <w:uiPriority w:val="21"/>
    <w:qFormat/>
    <w:rsid w:val="006F1E81"/>
    <w:rPr>
      <w:i/>
      <w:iCs/>
      <w:color w:val="0F4761" w:themeColor="accent1" w:themeShade="BF"/>
    </w:rPr>
  </w:style>
  <w:style w:type="paragraph" w:styleId="IntenseQuote">
    <w:name w:val="Intense Quote"/>
    <w:basedOn w:val="Normal"/>
    <w:next w:val="Normal"/>
    <w:link w:val="IntenseQuoteChar"/>
    <w:uiPriority w:val="30"/>
    <w:qFormat/>
    <w:rsid w:val="006F1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E81"/>
    <w:rPr>
      <w:i/>
      <w:iCs/>
      <w:color w:val="0F4761" w:themeColor="accent1" w:themeShade="BF"/>
    </w:rPr>
  </w:style>
  <w:style w:type="character" w:styleId="IntenseReference">
    <w:name w:val="Intense Reference"/>
    <w:basedOn w:val="DefaultParagraphFont"/>
    <w:uiPriority w:val="32"/>
    <w:qFormat/>
    <w:rsid w:val="006F1E81"/>
    <w:rPr>
      <w:b/>
      <w:bCs/>
      <w:smallCaps/>
      <w:color w:val="0F4761" w:themeColor="accent1" w:themeShade="BF"/>
      <w:spacing w:val="5"/>
    </w:rPr>
  </w:style>
  <w:style w:type="paragraph" w:styleId="Footer">
    <w:name w:val="footer"/>
    <w:basedOn w:val="Normal"/>
    <w:link w:val="FooterChar"/>
    <w:uiPriority w:val="99"/>
    <w:unhideWhenUsed/>
    <w:rsid w:val="00A622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0E02C3-D5E4-4A0C-A15A-C04A043936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87E417-0D1D-4A71-861F-579A9DD2A864}">
  <ds:schemaRefs>
    <ds:schemaRef ds:uri="http://schemas.microsoft.com/sharepoint/v3/contenttype/forms"/>
  </ds:schemaRefs>
</ds:datastoreItem>
</file>

<file path=customXml/itemProps3.xml><?xml version="1.0" encoding="utf-8"?>
<ds:datastoreItem xmlns:ds="http://schemas.openxmlformats.org/officeDocument/2006/customXml" ds:itemID="{59A4C68F-189F-44A6-98BD-68BB640E845D}">
  <ds:schemaRefs>
    <ds:schemaRef ds:uri="http://www.w3.org/XML/1998/namespace"/>
    <ds:schemaRef ds:uri="http://purl.org/dc/dcmitype/"/>
    <ds:schemaRef ds:uri="http://schemas.microsoft.com/office/2006/metadata/properties"/>
    <ds:schemaRef ds:uri="http://schemas.openxmlformats.org/package/2006/metadata/core-properties"/>
    <ds:schemaRef ds:uri="http://purl.org/dc/terms/"/>
    <ds:schemaRef ds:uri="http://schemas.microsoft.com/office/2006/documentManagement/types"/>
    <ds:schemaRef ds:uri="http://schemas.microsoft.com/office/infopath/2007/PartnerControls"/>
    <ds:schemaRef ds:uri="037dbc70-87fc-48c9-b303-505dabcccc13"/>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2</cp:revision>
  <dcterms:created xsi:type="dcterms:W3CDTF">2025-08-26T12:51:00Z</dcterms:created>
  <dcterms:modified xsi:type="dcterms:W3CDTF">2025-08-26T12:51:00Z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