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C3AA9" w14:textId="5063E86D" w:rsidR="00FA514C" w:rsidRPr="0063058A" w:rsidRDefault="00150C49" w:rsidP="00FA514C">
      <w:pPr>
        <w:rPr>
          <w:rFonts w:asciiTheme="minorBidi" w:hAnsiTheme="minorBidi"/>
        </w:rPr>
      </w:pPr>
      <w:r w:rsidRPr="00150C49">
        <w:rPr>
          <w:rFonts w:asciiTheme="minorBidi" w:hAnsiTheme="minorBidi"/>
        </w:rPr>
        <w:t xml:space="preserve">AI allows computers to execute human-like tasks (Coursera 2025). </w:t>
      </w:r>
      <w:r w:rsidR="00E0134A" w:rsidRPr="00150C49">
        <w:rPr>
          <w:rFonts w:asciiTheme="minorBidi" w:hAnsiTheme="minorBidi"/>
        </w:rPr>
        <w:t>Benioff (</w:t>
      </w:r>
      <w:r w:rsidRPr="00150C49">
        <w:rPr>
          <w:rFonts w:asciiTheme="minorBidi" w:hAnsiTheme="minorBidi"/>
        </w:rPr>
        <w:t xml:space="preserve">2024) claims it can transform company operations, strategy, and innovation. Benioff's views reflect the growing consensus that AI is a fundamental transformation in how organisations operate and compete. This hopeful view contrasts with the ethical challenges of AI deployment, which require serious analysis and debate. </w:t>
      </w:r>
      <w:r w:rsidRPr="00150C49">
        <w:rPr>
          <w:rFonts w:asciiTheme="minorBidi" w:hAnsiTheme="minorBidi"/>
        </w:rPr>
        <w:br/>
      </w:r>
      <w:r w:rsidRPr="00150C49">
        <w:rPr>
          <w:rFonts w:asciiTheme="minorBidi" w:hAnsiTheme="minorBidi"/>
        </w:rPr>
        <w:br/>
        <w:t xml:space="preserve">Commercial AI deployments must encompass discrimination, privacy, and justice, says Song (2025). AI discrimination can last longer with biassed training data. He argues that biassed data and unresolved injustices can cause unjust AI findings. In recruiting technology, an AI model trained on successful male resumes may link male-oriented career paths with competence, hurting female applicants. This replication of social bias supports Song's contention that AI fairness involves ethical considerations and proactive data audits to avoid harm and promote inclusion. Song (2025) emphasises transparency and explainability to reduce opaque AI decision-making, building on these ethical concerns. </w:t>
      </w:r>
      <w:r w:rsidRPr="00150C49">
        <w:rPr>
          <w:rFonts w:asciiTheme="minorBidi" w:hAnsiTheme="minorBidi"/>
        </w:rPr>
        <w:br/>
        <w:t xml:space="preserve">AI should be straightforward and understandable when added to business operations. Song (2025) discusses how black-box AI models make decisions difficult to understand, which reduces stakeholder trust. Explainable AI (XAI) approaches like SHAP and LIME can clarify and hold model outputs responsible by showing which factors affect them. These tools and a full explanation of algorithms make complex systems easier to grasp and foster ethical AI. </w:t>
      </w:r>
      <w:r w:rsidRPr="00150C49">
        <w:rPr>
          <w:rFonts w:asciiTheme="minorBidi" w:hAnsiTheme="minorBidi"/>
        </w:rPr>
        <w:br/>
        <w:t xml:space="preserve">AI systems routinely employ sensitive personal data, making them more vulnerable to privacy breaches and exploitation, according to TrustCloud (2025). Organisations can reduce these risks by adopting privacy-by-design principles, encrypting personal data, and complying with data protection legislation like the GDPR. Strong regulatory enforcement is necessary, but ethics may not be enough. Businesses must comply with independent monitoring organisations, frequent audits, and fines for non-compliance to maintain public trust in AI technologies. </w:t>
      </w:r>
      <w:r w:rsidRPr="00150C49">
        <w:rPr>
          <w:rFonts w:asciiTheme="minorBidi" w:hAnsiTheme="minorBidi"/>
        </w:rPr>
        <w:br/>
        <w:t>Finally, Krimmelbein (2024) emphasises that AI-driven automation has replaced human labour in manufacturing, customer service, and administration, bringing ethical problems regarding injustice and exclusion. However, data centre energy usage and algorithm training resources are rarely considered while running large-scale AI models (Moyano-Fernández &amp; Rueda, 2024). Al-Adwan (2024) suggests "Green AI" and aligning technology with SDG 13 climate action goals. To fix the workforce and environment, we need reskilling programs that encourage people and AI to work together and clear energy standards that hold developers accountable for new technology's environmental impact.</w:t>
      </w:r>
    </w:p>
    <w:p w14:paraId="2DBCE0B2" w14:textId="1EC86B33" w:rsidR="00B40669" w:rsidRPr="0063058A" w:rsidRDefault="00FA514C" w:rsidP="00FA514C">
      <w:pPr>
        <w:rPr>
          <w:rFonts w:asciiTheme="minorBidi" w:hAnsiTheme="minorBidi"/>
        </w:rPr>
      </w:pPr>
      <w:r w:rsidRPr="0063058A">
        <w:rPr>
          <w:rFonts w:asciiTheme="minorBidi" w:hAnsiTheme="minorBidi"/>
        </w:rPr>
        <w:t>AI offers transformative opportunities for business and society, yet its ethical implications demand proactive scrutiny. From fairness and transparency to privacy and sustainability, responsible deployment is essential. Organisations must adopt explainable, inclusive, and environmentally conscious approaches. Ethical practices and regulatory compliance together foster trust and accountability. Only then can AI serve both innovation and social good.</w:t>
      </w:r>
      <w:r w:rsidR="00150C49" w:rsidRPr="00150C49">
        <w:rPr>
          <w:rFonts w:asciiTheme="minorBidi" w:hAnsiTheme="minorBidi"/>
        </w:rPr>
        <w:br/>
      </w:r>
      <w:r w:rsidR="00150C49" w:rsidRPr="00150C49">
        <w:rPr>
          <w:rFonts w:asciiTheme="minorBidi" w:hAnsiTheme="minorBidi"/>
        </w:rPr>
        <w:lastRenderedPageBreak/>
        <w:br/>
      </w:r>
    </w:p>
    <w:p w14:paraId="4FCCA2E4" w14:textId="3BC67F7C" w:rsidR="00B40669" w:rsidRPr="0063058A" w:rsidRDefault="00B40669" w:rsidP="00150C49">
      <w:pPr>
        <w:rPr>
          <w:rFonts w:asciiTheme="minorBidi" w:hAnsiTheme="minorBidi"/>
        </w:rPr>
      </w:pPr>
      <w:r w:rsidRPr="0063058A">
        <w:rPr>
          <w:rFonts w:asciiTheme="minorBidi" w:hAnsiTheme="minorBidi"/>
        </w:rPr>
        <w:t>Reference list</w:t>
      </w:r>
    </w:p>
    <w:p w14:paraId="610F1C29" w14:textId="7FE14D03" w:rsidR="00150C49" w:rsidRPr="0063058A" w:rsidRDefault="00150C49" w:rsidP="00C44362">
      <w:pPr>
        <w:rPr>
          <w:rFonts w:asciiTheme="minorBidi" w:hAnsiTheme="minorBidi"/>
        </w:rPr>
      </w:pPr>
      <w:r w:rsidRPr="0063058A">
        <w:rPr>
          <w:rFonts w:asciiTheme="minorBidi" w:hAnsiTheme="minorBidi"/>
        </w:rPr>
        <w:t xml:space="preserve">Al-Adwan, M.A.S., 2024. Harnessing Artificial Intelligence for Environmental Sustainability: Ethical Considerations and Practical Implications in Achieving SDG 9 and SDG 16. SDGs Review, 5(2), pp.1–20. Available at: </w:t>
      </w:r>
      <w:hyperlink r:id="rId5" w:history="1">
        <w:r w:rsidRPr="0063058A">
          <w:rPr>
            <w:rStyle w:val="Hyperlink"/>
            <w:rFonts w:asciiTheme="minorBidi" w:hAnsiTheme="minorBidi"/>
          </w:rPr>
          <w:t>https://sdgsreview.org/LifestyleJournal/article/download/3779/2205</w:t>
        </w:r>
      </w:hyperlink>
      <w:r w:rsidRPr="0063058A">
        <w:rPr>
          <w:rFonts w:asciiTheme="minorBidi" w:hAnsiTheme="minorBidi"/>
        </w:rPr>
        <w:t xml:space="preserve"> [Accessed 31 Jul. 2025].</w:t>
      </w:r>
    </w:p>
    <w:p w14:paraId="47F50321" w14:textId="0DFEB7E4" w:rsidR="00B40669" w:rsidRPr="0063058A" w:rsidRDefault="00B40669" w:rsidP="00C44362">
      <w:pPr>
        <w:rPr>
          <w:rFonts w:asciiTheme="minorBidi" w:hAnsiTheme="minorBidi"/>
        </w:rPr>
      </w:pPr>
      <w:r w:rsidRPr="0063058A">
        <w:rPr>
          <w:rFonts w:asciiTheme="minorBidi" w:hAnsiTheme="minorBidi"/>
        </w:rPr>
        <w:t>Benioff, M. (2024) Why AI Agents Will Trigger the Biggest Workplace Revolution in 25 Years. Forbes. Available at: Forbes article by Bernard Marr (Accessed: 31 July 2025).</w:t>
      </w:r>
    </w:p>
    <w:p w14:paraId="7C2753D2" w14:textId="10C313CE" w:rsidR="00B40669" w:rsidRPr="0063058A" w:rsidRDefault="00B40669" w:rsidP="00B40669">
      <w:pPr>
        <w:rPr>
          <w:rFonts w:asciiTheme="minorBidi" w:hAnsiTheme="minorBidi"/>
        </w:rPr>
      </w:pPr>
      <w:r w:rsidRPr="0063058A">
        <w:rPr>
          <w:rFonts w:asciiTheme="minorBidi" w:hAnsiTheme="minorBidi"/>
        </w:rPr>
        <w:t>Coursera (2025) What is Artificial Intelligence? Definition, Uses, and Types. Available at: Artificial Intelligence: An Overview | Coursera (Accessed: 31 July 2025).</w:t>
      </w:r>
    </w:p>
    <w:p w14:paraId="55AD6E8B" w14:textId="77777777" w:rsidR="00150C49" w:rsidRPr="0063058A" w:rsidRDefault="00150C49" w:rsidP="00150C49">
      <w:pPr>
        <w:rPr>
          <w:rFonts w:asciiTheme="minorBidi" w:hAnsiTheme="minorBidi"/>
        </w:rPr>
      </w:pPr>
      <w:r w:rsidRPr="0063058A">
        <w:rPr>
          <w:rFonts w:asciiTheme="minorBidi" w:hAnsiTheme="minorBidi"/>
        </w:rPr>
        <w:t xml:space="preserve">Krimmelbein, F., 2024. </w:t>
      </w:r>
      <w:r w:rsidRPr="0063058A">
        <w:rPr>
          <w:rFonts w:asciiTheme="minorBidi" w:hAnsiTheme="minorBidi"/>
          <w:i/>
          <w:iCs/>
        </w:rPr>
        <w:t>The ethical implications of AI and job displacement</w:t>
      </w:r>
      <w:r w:rsidRPr="0063058A">
        <w:rPr>
          <w:rFonts w:asciiTheme="minorBidi" w:hAnsiTheme="minorBidi"/>
        </w:rPr>
        <w:t xml:space="preserve">. [online] Sogeti Labs. Available at: </w:t>
      </w:r>
      <w:hyperlink r:id="rId6" w:history="1">
        <w:r w:rsidRPr="0063058A">
          <w:rPr>
            <w:rStyle w:val="Hyperlink"/>
            <w:rFonts w:asciiTheme="minorBidi" w:hAnsiTheme="minorBidi"/>
          </w:rPr>
          <w:t>https://labs.sogeti.com/the-ethical-implications-of-ai-and-job-displacement</w:t>
        </w:r>
      </w:hyperlink>
      <w:r w:rsidRPr="0063058A">
        <w:rPr>
          <w:rFonts w:asciiTheme="minorBidi" w:hAnsiTheme="minorBidi"/>
        </w:rPr>
        <w:t xml:space="preserve"> [Accessed 31 Jul. 2025].</w:t>
      </w:r>
    </w:p>
    <w:p w14:paraId="4B9351B3" w14:textId="783F9F12" w:rsidR="00B40669" w:rsidRPr="0063058A" w:rsidRDefault="00150C49" w:rsidP="00150C49">
      <w:pPr>
        <w:rPr>
          <w:rFonts w:asciiTheme="minorBidi" w:hAnsiTheme="minorBidi"/>
        </w:rPr>
      </w:pPr>
      <w:r w:rsidRPr="0063058A">
        <w:rPr>
          <w:rFonts w:asciiTheme="minorBidi" w:hAnsiTheme="minorBidi"/>
        </w:rPr>
        <w:t xml:space="preserve">Moyano-Fernández, C. and Rueda, J., 2024. </w:t>
      </w:r>
      <w:r w:rsidRPr="0063058A">
        <w:rPr>
          <w:rFonts w:asciiTheme="minorBidi" w:hAnsiTheme="minorBidi"/>
          <w:i/>
          <w:iCs/>
        </w:rPr>
        <w:t>AI, Sustainability, and Environmental Ethics</w:t>
      </w:r>
      <w:r w:rsidRPr="0063058A">
        <w:rPr>
          <w:rFonts w:asciiTheme="minorBidi" w:hAnsiTheme="minorBidi"/>
        </w:rPr>
        <w:t xml:space="preserve">. In: </w:t>
      </w:r>
      <w:r w:rsidRPr="0063058A">
        <w:rPr>
          <w:rFonts w:asciiTheme="minorBidi" w:hAnsiTheme="minorBidi"/>
          <w:i/>
          <w:iCs/>
        </w:rPr>
        <w:t>The International Library of Ethics, Law and Technology</w:t>
      </w:r>
      <w:r w:rsidRPr="0063058A">
        <w:rPr>
          <w:rFonts w:asciiTheme="minorBidi" w:hAnsiTheme="minorBidi"/>
        </w:rPr>
        <w:t xml:space="preserve">, vol. 41. Springer. Available at: </w:t>
      </w:r>
      <w:hyperlink r:id="rId7" w:history="1">
        <w:r w:rsidRPr="0063058A">
          <w:rPr>
            <w:rStyle w:val="Hyperlink"/>
            <w:rFonts w:asciiTheme="minorBidi" w:hAnsiTheme="minorBidi"/>
          </w:rPr>
          <w:t>https://link.springer.com/chapter/10.1007/978-3-031-48135-2_11</w:t>
        </w:r>
      </w:hyperlink>
      <w:r w:rsidRPr="0063058A">
        <w:rPr>
          <w:rFonts w:asciiTheme="minorBidi" w:hAnsiTheme="minorBidi"/>
        </w:rPr>
        <w:t xml:space="preserve"> [Accessed 31 Jul. 2025].</w:t>
      </w:r>
    </w:p>
    <w:p w14:paraId="4E7C835D" w14:textId="089953EA" w:rsidR="00B40669" w:rsidRPr="00B40669" w:rsidRDefault="00B40669" w:rsidP="00B40669">
      <w:pPr>
        <w:rPr>
          <w:rFonts w:asciiTheme="minorBidi" w:hAnsiTheme="minorBidi"/>
        </w:rPr>
      </w:pPr>
      <w:r w:rsidRPr="0063058A">
        <w:rPr>
          <w:rFonts w:asciiTheme="minorBidi" w:hAnsiTheme="minorBidi"/>
        </w:rPr>
        <w:t>Song</w:t>
      </w:r>
      <w:r w:rsidRPr="00B40669">
        <w:rPr>
          <w:rFonts w:asciiTheme="minorBidi" w:hAnsiTheme="minorBidi"/>
        </w:rPr>
        <w:t xml:space="preserve">, P. (2025) </w:t>
      </w:r>
      <w:r w:rsidRPr="00B40669">
        <w:rPr>
          <w:rFonts w:asciiTheme="minorBidi" w:hAnsiTheme="minorBidi"/>
          <w:i/>
          <w:iCs/>
        </w:rPr>
        <w:t>Ethical Considerations in AI: Bias, Privacy, and Fairness</w:t>
      </w:r>
      <w:r w:rsidRPr="00B40669">
        <w:rPr>
          <w:rFonts w:asciiTheme="minorBidi" w:hAnsiTheme="minorBidi"/>
        </w:rPr>
        <w:t xml:space="preserve">. ML Journey. Available at: </w:t>
      </w:r>
      <w:hyperlink r:id="rId8" w:history="1">
        <w:r w:rsidRPr="00B40669">
          <w:rPr>
            <w:rStyle w:val="Hyperlink"/>
            <w:rFonts w:asciiTheme="minorBidi" w:hAnsiTheme="minorBidi"/>
          </w:rPr>
          <w:t>ML Journey article</w:t>
        </w:r>
      </w:hyperlink>
      <w:r w:rsidRPr="00B40669">
        <w:rPr>
          <w:rFonts w:asciiTheme="minorBidi" w:hAnsiTheme="minorBidi"/>
        </w:rPr>
        <w:t xml:space="preserve"> (Accessed: 31 July 2025).</w:t>
      </w:r>
    </w:p>
    <w:p w14:paraId="1D60A77C" w14:textId="0F1632FE" w:rsidR="00B4779D" w:rsidRPr="00B4779D" w:rsidRDefault="00B4779D" w:rsidP="00B4779D">
      <w:pPr>
        <w:rPr>
          <w:rFonts w:asciiTheme="minorBidi" w:hAnsiTheme="minorBidi"/>
        </w:rPr>
      </w:pPr>
      <w:r w:rsidRPr="00B4779D">
        <w:rPr>
          <w:rFonts w:asciiTheme="minorBidi" w:hAnsiTheme="minorBidi"/>
        </w:rPr>
        <w:t xml:space="preserve">TrustCloud (2025) </w:t>
      </w:r>
      <w:r w:rsidRPr="00B4779D">
        <w:rPr>
          <w:rFonts w:asciiTheme="minorBidi" w:hAnsiTheme="minorBidi"/>
          <w:i/>
          <w:iCs/>
        </w:rPr>
        <w:t>Data Privacy and AI: Ethical Considerations and Best Practices</w:t>
      </w:r>
      <w:r w:rsidRPr="00B4779D">
        <w:rPr>
          <w:rFonts w:asciiTheme="minorBidi" w:hAnsiTheme="minorBidi"/>
        </w:rPr>
        <w:t xml:space="preserve">. Available at: </w:t>
      </w:r>
      <w:hyperlink r:id="rId9" w:history="1">
        <w:r w:rsidRPr="00B4779D">
          <w:rPr>
            <w:rStyle w:val="Hyperlink"/>
            <w:rFonts w:asciiTheme="minorBidi" w:hAnsiTheme="minorBidi"/>
          </w:rPr>
          <w:t>TrustCloud article</w:t>
        </w:r>
      </w:hyperlink>
      <w:r w:rsidRPr="00B4779D">
        <w:rPr>
          <w:rFonts w:asciiTheme="minorBidi" w:hAnsiTheme="minorBidi"/>
        </w:rPr>
        <w:t xml:space="preserve"> (Accessed: 31 July 2025).</w:t>
      </w:r>
    </w:p>
    <w:p w14:paraId="67FB4443" w14:textId="77777777" w:rsidR="00B40669" w:rsidRPr="00B40669" w:rsidRDefault="00B40669" w:rsidP="00B40669">
      <w:pPr>
        <w:rPr>
          <w:rFonts w:asciiTheme="minorBidi" w:hAnsiTheme="minorBidi"/>
        </w:rPr>
      </w:pPr>
    </w:p>
    <w:p w14:paraId="24511231" w14:textId="77777777" w:rsidR="000227EF" w:rsidRPr="0063058A" w:rsidRDefault="000227EF">
      <w:pPr>
        <w:rPr>
          <w:rFonts w:asciiTheme="minorBidi" w:hAnsiTheme="minorBidi"/>
        </w:rPr>
      </w:pPr>
    </w:p>
    <w:sectPr w:rsidR="000227EF" w:rsidRPr="00630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15AF7"/>
    <w:multiLevelType w:val="multilevel"/>
    <w:tmpl w:val="EE14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22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69"/>
    <w:rsid w:val="000227EF"/>
    <w:rsid w:val="00150C49"/>
    <w:rsid w:val="0021280B"/>
    <w:rsid w:val="00375D1C"/>
    <w:rsid w:val="00495F3F"/>
    <w:rsid w:val="004F7C1D"/>
    <w:rsid w:val="0063058A"/>
    <w:rsid w:val="00720B50"/>
    <w:rsid w:val="00B40669"/>
    <w:rsid w:val="00B4779D"/>
    <w:rsid w:val="00C44362"/>
    <w:rsid w:val="00D312D9"/>
    <w:rsid w:val="00D57126"/>
    <w:rsid w:val="00E0134A"/>
    <w:rsid w:val="00FA51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0E58"/>
  <w15:chartTrackingRefBased/>
  <w15:docId w15:val="{9DE85B70-668F-43E2-A9DD-6B82E308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669"/>
    <w:rPr>
      <w:rFonts w:eastAsiaTheme="majorEastAsia" w:cstheme="majorBidi"/>
      <w:color w:val="272727" w:themeColor="text1" w:themeTint="D8"/>
    </w:rPr>
  </w:style>
  <w:style w:type="paragraph" w:styleId="Title">
    <w:name w:val="Title"/>
    <w:basedOn w:val="Normal"/>
    <w:next w:val="Normal"/>
    <w:link w:val="TitleChar"/>
    <w:uiPriority w:val="10"/>
    <w:qFormat/>
    <w:rsid w:val="00B40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669"/>
    <w:pPr>
      <w:spacing w:before="160"/>
      <w:jc w:val="center"/>
    </w:pPr>
    <w:rPr>
      <w:i/>
      <w:iCs/>
      <w:color w:val="404040" w:themeColor="text1" w:themeTint="BF"/>
    </w:rPr>
  </w:style>
  <w:style w:type="character" w:customStyle="1" w:styleId="QuoteChar">
    <w:name w:val="Quote Char"/>
    <w:basedOn w:val="DefaultParagraphFont"/>
    <w:link w:val="Quote"/>
    <w:uiPriority w:val="29"/>
    <w:rsid w:val="00B40669"/>
    <w:rPr>
      <w:i/>
      <w:iCs/>
      <w:color w:val="404040" w:themeColor="text1" w:themeTint="BF"/>
    </w:rPr>
  </w:style>
  <w:style w:type="paragraph" w:styleId="ListParagraph">
    <w:name w:val="List Paragraph"/>
    <w:basedOn w:val="Normal"/>
    <w:uiPriority w:val="34"/>
    <w:qFormat/>
    <w:rsid w:val="00B40669"/>
    <w:pPr>
      <w:ind w:left="720"/>
      <w:contextualSpacing/>
    </w:pPr>
  </w:style>
  <w:style w:type="character" w:styleId="IntenseEmphasis">
    <w:name w:val="Intense Emphasis"/>
    <w:basedOn w:val="DefaultParagraphFont"/>
    <w:uiPriority w:val="21"/>
    <w:qFormat/>
    <w:rsid w:val="00B40669"/>
    <w:rPr>
      <w:i/>
      <w:iCs/>
      <w:color w:val="0F4761" w:themeColor="accent1" w:themeShade="BF"/>
    </w:rPr>
  </w:style>
  <w:style w:type="paragraph" w:styleId="IntenseQuote">
    <w:name w:val="Intense Quote"/>
    <w:basedOn w:val="Normal"/>
    <w:next w:val="Normal"/>
    <w:link w:val="IntenseQuoteChar"/>
    <w:uiPriority w:val="30"/>
    <w:qFormat/>
    <w:rsid w:val="00B40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669"/>
    <w:rPr>
      <w:i/>
      <w:iCs/>
      <w:color w:val="0F4761" w:themeColor="accent1" w:themeShade="BF"/>
    </w:rPr>
  </w:style>
  <w:style w:type="character" w:styleId="IntenseReference">
    <w:name w:val="Intense Reference"/>
    <w:basedOn w:val="DefaultParagraphFont"/>
    <w:uiPriority w:val="32"/>
    <w:qFormat/>
    <w:rsid w:val="00B40669"/>
    <w:rPr>
      <w:b/>
      <w:bCs/>
      <w:smallCaps/>
      <w:color w:val="0F4761" w:themeColor="accent1" w:themeShade="BF"/>
      <w:spacing w:val="5"/>
    </w:rPr>
  </w:style>
  <w:style w:type="character" w:styleId="Hyperlink">
    <w:name w:val="Hyperlink"/>
    <w:basedOn w:val="DefaultParagraphFont"/>
    <w:uiPriority w:val="99"/>
    <w:unhideWhenUsed/>
    <w:rsid w:val="00B40669"/>
    <w:rPr>
      <w:color w:val="467886" w:themeColor="hyperlink"/>
      <w:u w:val="single"/>
    </w:rPr>
  </w:style>
  <w:style w:type="character" w:styleId="UnresolvedMention">
    <w:name w:val="Unresolved Mention"/>
    <w:basedOn w:val="DefaultParagraphFont"/>
    <w:uiPriority w:val="99"/>
    <w:semiHidden/>
    <w:unhideWhenUsed/>
    <w:rsid w:val="00B40669"/>
    <w:rPr>
      <w:color w:val="605E5C"/>
      <w:shd w:val="clear" w:color="auto" w:fill="E1DFDD"/>
    </w:rPr>
  </w:style>
  <w:style w:type="paragraph" w:styleId="NormalWeb">
    <w:name w:val="Normal (Web)"/>
    <w:basedOn w:val="Normal"/>
    <w:uiPriority w:val="99"/>
    <w:semiHidden/>
    <w:unhideWhenUsed/>
    <w:rsid w:val="00150C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64431">
      <w:bodyDiv w:val="1"/>
      <w:marLeft w:val="0"/>
      <w:marRight w:val="0"/>
      <w:marTop w:val="0"/>
      <w:marBottom w:val="0"/>
      <w:divBdr>
        <w:top w:val="none" w:sz="0" w:space="0" w:color="auto"/>
        <w:left w:val="none" w:sz="0" w:space="0" w:color="auto"/>
        <w:bottom w:val="none" w:sz="0" w:space="0" w:color="auto"/>
        <w:right w:val="none" w:sz="0" w:space="0" w:color="auto"/>
      </w:divBdr>
    </w:div>
    <w:div w:id="242418482">
      <w:bodyDiv w:val="1"/>
      <w:marLeft w:val="0"/>
      <w:marRight w:val="0"/>
      <w:marTop w:val="0"/>
      <w:marBottom w:val="0"/>
      <w:divBdr>
        <w:top w:val="none" w:sz="0" w:space="0" w:color="auto"/>
        <w:left w:val="none" w:sz="0" w:space="0" w:color="auto"/>
        <w:bottom w:val="none" w:sz="0" w:space="0" w:color="auto"/>
        <w:right w:val="none" w:sz="0" w:space="0" w:color="auto"/>
      </w:divBdr>
    </w:div>
    <w:div w:id="266081074">
      <w:bodyDiv w:val="1"/>
      <w:marLeft w:val="0"/>
      <w:marRight w:val="0"/>
      <w:marTop w:val="0"/>
      <w:marBottom w:val="0"/>
      <w:divBdr>
        <w:top w:val="none" w:sz="0" w:space="0" w:color="auto"/>
        <w:left w:val="none" w:sz="0" w:space="0" w:color="auto"/>
        <w:bottom w:val="none" w:sz="0" w:space="0" w:color="auto"/>
        <w:right w:val="none" w:sz="0" w:space="0" w:color="auto"/>
      </w:divBdr>
    </w:div>
    <w:div w:id="333727667">
      <w:bodyDiv w:val="1"/>
      <w:marLeft w:val="0"/>
      <w:marRight w:val="0"/>
      <w:marTop w:val="0"/>
      <w:marBottom w:val="0"/>
      <w:divBdr>
        <w:top w:val="none" w:sz="0" w:space="0" w:color="auto"/>
        <w:left w:val="none" w:sz="0" w:space="0" w:color="auto"/>
        <w:bottom w:val="none" w:sz="0" w:space="0" w:color="auto"/>
        <w:right w:val="none" w:sz="0" w:space="0" w:color="auto"/>
      </w:divBdr>
    </w:div>
    <w:div w:id="374306643">
      <w:bodyDiv w:val="1"/>
      <w:marLeft w:val="0"/>
      <w:marRight w:val="0"/>
      <w:marTop w:val="0"/>
      <w:marBottom w:val="0"/>
      <w:divBdr>
        <w:top w:val="none" w:sz="0" w:space="0" w:color="auto"/>
        <w:left w:val="none" w:sz="0" w:space="0" w:color="auto"/>
        <w:bottom w:val="none" w:sz="0" w:space="0" w:color="auto"/>
        <w:right w:val="none" w:sz="0" w:space="0" w:color="auto"/>
      </w:divBdr>
    </w:div>
    <w:div w:id="468941502">
      <w:bodyDiv w:val="1"/>
      <w:marLeft w:val="0"/>
      <w:marRight w:val="0"/>
      <w:marTop w:val="0"/>
      <w:marBottom w:val="0"/>
      <w:divBdr>
        <w:top w:val="none" w:sz="0" w:space="0" w:color="auto"/>
        <w:left w:val="none" w:sz="0" w:space="0" w:color="auto"/>
        <w:bottom w:val="none" w:sz="0" w:space="0" w:color="auto"/>
        <w:right w:val="none" w:sz="0" w:space="0" w:color="auto"/>
      </w:divBdr>
    </w:div>
    <w:div w:id="722217100">
      <w:bodyDiv w:val="1"/>
      <w:marLeft w:val="0"/>
      <w:marRight w:val="0"/>
      <w:marTop w:val="0"/>
      <w:marBottom w:val="0"/>
      <w:divBdr>
        <w:top w:val="none" w:sz="0" w:space="0" w:color="auto"/>
        <w:left w:val="none" w:sz="0" w:space="0" w:color="auto"/>
        <w:bottom w:val="none" w:sz="0" w:space="0" w:color="auto"/>
        <w:right w:val="none" w:sz="0" w:space="0" w:color="auto"/>
      </w:divBdr>
    </w:div>
    <w:div w:id="741562920">
      <w:bodyDiv w:val="1"/>
      <w:marLeft w:val="0"/>
      <w:marRight w:val="0"/>
      <w:marTop w:val="0"/>
      <w:marBottom w:val="0"/>
      <w:divBdr>
        <w:top w:val="none" w:sz="0" w:space="0" w:color="auto"/>
        <w:left w:val="none" w:sz="0" w:space="0" w:color="auto"/>
        <w:bottom w:val="none" w:sz="0" w:space="0" w:color="auto"/>
        <w:right w:val="none" w:sz="0" w:space="0" w:color="auto"/>
      </w:divBdr>
    </w:div>
    <w:div w:id="754133237">
      <w:bodyDiv w:val="1"/>
      <w:marLeft w:val="0"/>
      <w:marRight w:val="0"/>
      <w:marTop w:val="0"/>
      <w:marBottom w:val="0"/>
      <w:divBdr>
        <w:top w:val="none" w:sz="0" w:space="0" w:color="auto"/>
        <w:left w:val="none" w:sz="0" w:space="0" w:color="auto"/>
        <w:bottom w:val="none" w:sz="0" w:space="0" w:color="auto"/>
        <w:right w:val="none" w:sz="0" w:space="0" w:color="auto"/>
      </w:divBdr>
    </w:div>
    <w:div w:id="842939203">
      <w:bodyDiv w:val="1"/>
      <w:marLeft w:val="0"/>
      <w:marRight w:val="0"/>
      <w:marTop w:val="0"/>
      <w:marBottom w:val="0"/>
      <w:divBdr>
        <w:top w:val="none" w:sz="0" w:space="0" w:color="auto"/>
        <w:left w:val="none" w:sz="0" w:space="0" w:color="auto"/>
        <w:bottom w:val="none" w:sz="0" w:space="0" w:color="auto"/>
        <w:right w:val="none" w:sz="0" w:space="0" w:color="auto"/>
      </w:divBdr>
    </w:div>
    <w:div w:id="847985320">
      <w:bodyDiv w:val="1"/>
      <w:marLeft w:val="0"/>
      <w:marRight w:val="0"/>
      <w:marTop w:val="0"/>
      <w:marBottom w:val="0"/>
      <w:divBdr>
        <w:top w:val="none" w:sz="0" w:space="0" w:color="auto"/>
        <w:left w:val="none" w:sz="0" w:space="0" w:color="auto"/>
        <w:bottom w:val="none" w:sz="0" w:space="0" w:color="auto"/>
        <w:right w:val="none" w:sz="0" w:space="0" w:color="auto"/>
      </w:divBdr>
    </w:div>
    <w:div w:id="899706435">
      <w:bodyDiv w:val="1"/>
      <w:marLeft w:val="0"/>
      <w:marRight w:val="0"/>
      <w:marTop w:val="0"/>
      <w:marBottom w:val="0"/>
      <w:divBdr>
        <w:top w:val="none" w:sz="0" w:space="0" w:color="auto"/>
        <w:left w:val="none" w:sz="0" w:space="0" w:color="auto"/>
        <w:bottom w:val="none" w:sz="0" w:space="0" w:color="auto"/>
        <w:right w:val="none" w:sz="0" w:space="0" w:color="auto"/>
      </w:divBdr>
    </w:div>
    <w:div w:id="1244292993">
      <w:bodyDiv w:val="1"/>
      <w:marLeft w:val="0"/>
      <w:marRight w:val="0"/>
      <w:marTop w:val="0"/>
      <w:marBottom w:val="0"/>
      <w:divBdr>
        <w:top w:val="none" w:sz="0" w:space="0" w:color="auto"/>
        <w:left w:val="none" w:sz="0" w:space="0" w:color="auto"/>
        <w:bottom w:val="none" w:sz="0" w:space="0" w:color="auto"/>
        <w:right w:val="none" w:sz="0" w:space="0" w:color="auto"/>
      </w:divBdr>
    </w:div>
    <w:div w:id="1306928539">
      <w:bodyDiv w:val="1"/>
      <w:marLeft w:val="0"/>
      <w:marRight w:val="0"/>
      <w:marTop w:val="0"/>
      <w:marBottom w:val="0"/>
      <w:divBdr>
        <w:top w:val="none" w:sz="0" w:space="0" w:color="auto"/>
        <w:left w:val="none" w:sz="0" w:space="0" w:color="auto"/>
        <w:bottom w:val="none" w:sz="0" w:space="0" w:color="auto"/>
        <w:right w:val="none" w:sz="0" w:space="0" w:color="auto"/>
      </w:divBdr>
    </w:div>
    <w:div w:id="1459488294">
      <w:bodyDiv w:val="1"/>
      <w:marLeft w:val="0"/>
      <w:marRight w:val="0"/>
      <w:marTop w:val="0"/>
      <w:marBottom w:val="0"/>
      <w:divBdr>
        <w:top w:val="none" w:sz="0" w:space="0" w:color="auto"/>
        <w:left w:val="none" w:sz="0" w:space="0" w:color="auto"/>
        <w:bottom w:val="none" w:sz="0" w:space="0" w:color="auto"/>
        <w:right w:val="none" w:sz="0" w:space="0" w:color="auto"/>
      </w:divBdr>
    </w:div>
    <w:div w:id="1484809324">
      <w:bodyDiv w:val="1"/>
      <w:marLeft w:val="0"/>
      <w:marRight w:val="0"/>
      <w:marTop w:val="0"/>
      <w:marBottom w:val="0"/>
      <w:divBdr>
        <w:top w:val="none" w:sz="0" w:space="0" w:color="auto"/>
        <w:left w:val="none" w:sz="0" w:space="0" w:color="auto"/>
        <w:bottom w:val="none" w:sz="0" w:space="0" w:color="auto"/>
        <w:right w:val="none" w:sz="0" w:space="0" w:color="auto"/>
      </w:divBdr>
    </w:div>
    <w:div w:id="1566721965">
      <w:bodyDiv w:val="1"/>
      <w:marLeft w:val="0"/>
      <w:marRight w:val="0"/>
      <w:marTop w:val="0"/>
      <w:marBottom w:val="0"/>
      <w:divBdr>
        <w:top w:val="none" w:sz="0" w:space="0" w:color="auto"/>
        <w:left w:val="none" w:sz="0" w:space="0" w:color="auto"/>
        <w:bottom w:val="none" w:sz="0" w:space="0" w:color="auto"/>
        <w:right w:val="none" w:sz="0" w:space="0" w:color="auto"/>
      </w:divBdr>
    </w:div>
    <w:div w:id="1568298794">
      <w:bodyDiv w:val="1"/>
      <w:marLeft w:val="0"/>
      <w:marRight w:val="0"/>
      <w:marTop w:val="0"/>
      <w:marBottom w:val="0"/>
      <w:divBdr>
        <w:top w:val="none" w:sz="0" w:space="0" w:color="auto"/>
        <w:left w:val="none" w:sz="0" w:space="0" w:color="auto"/>
        <w:bottom w:val="none" w:sz="0" w:space="0" w:color="auto"/>
        <w:right w:val="none" w:sz="0" w:space="0" w:color="auto"/>
      </w:divBdr>
    </w:div>
    <w:div w:id="1616867866">
      <w:bodyDiv w:val="1"/>
      <w:marLeft w:val="0"/>
      <w:marRight w:val="0"/>
      <w:marTop w:val="0"/>
      <w:marBottom w:val="0"/>
      <w:divBdr>
        <w:top w:val="none" w:sz="0" w:space="0" w:color="auto"/>
        <w:left w:val="none" w:sz="0" w:space="0" w:color="auto"/>
        <w:bottom w:val="none" w:sz="0" w:space="0" w:color="auto"/>
        <w:right w:val="none" w:sz="0" w:space="0" w:color="auto"/>
      </w:divBdr>
    </w:div>
    <w:div w:id="1736052185">
      <w:bodyDiv w:val="1"/>
      <w:marLeft w:val="0"/>
      <w:marRight w:val="0"/>
      <w:marTop w:val="0"/>
      <w:marBottom w:val="0"/>
      <w:divBdr>
        <w:top w:val="none" w:sz="0" w:space="0" w:color="auto"/>
        <w:left w:val="none" w:sz="0" w:space="0" w:color="auto"/>
        <w:bottom w:val="none" w:sz="0" w:space="0" w:color="auto"/>
        <w:right w:val="none" w:sz="0" w:space="0" w:color="auto"/>
      </w:divBdr>
    </w:div>
    <w:div w:id="1776632163">
      <w:bodyDiv w:val="1"/>
      <w:marLeft w:val="0"/>
      <w:marRight w:val="0"/>
      <w:marTop w:val="0"/>
      <w:marBottom w:val="0"/>
      <w:divBdr>
        <w:top w:val="none" w:sz="0" w:space="0" w:color="auto"/>
        <w:left w:val="none" w:sz="0" w:space="0" w:color="auto"/>
        <w:bottom w:val="none" w:sz="0" w:space="0" w:color="auto"/>
        <w:right w:val="none" w:sz="0" w:space="0" w:color="auto"/>
      </w:divBdr>
    </w:div>
    <w:div w:id="204193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journey.com/ethical-considerations-in-ai-bias-privacy-and-fairness/" TargetMode="External"/><Relationship Id="rId3" Type="http://schemas.openxmlformats.org/officeDocument/2006/relationships/settings" Target="settings.xml"/><Relationship Id="rId7" Type="http://schemas.openxmlformats.org/officeDocument/2006/relationships/hyperlink" Target="https://link.springer.com/chapter/10.1007/978-3-031-48135-2_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bs.sogeti.com/the-ethical-implications-of-ai-and-job-displacement/" TargetMode="External"/><Relationship Id="rId11" Type="http://schemas.openxmlformats.org/officeDocument/2006/relationships/theme" Target="theme/theme1.xml"/><Relationship Id="rId5" Type="http://schemas.openxmlformats.org/officeDocument/2006/relationships/hyperlink" Target="https://sdgsreview.org/LifestyleJournal/article/download/3779/22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munity.trustcloud.ai/docs/grc-launchpad/grc-101/governance/data-privacy-and-ai-ethical-considerations-and-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jack</dc:creator>
  <cp:keywords/>
  <dc:description/>
  <cp:lastModifiedBy>jack jack</cp:lastModifiedBy>
  <cp:revision>5</cp:revision>
  <dcterms:created xsi:type="dcterms:W3CDTF">2025-07-31T12:12:00Z</dcterms:created>
  <dcterms:modified xsi:type="dcterms:W3CDTF">2025-08-01T11:12:00Z</dcterms:modified>
</cp:coreProperties>
</file>