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992F" w14:textId="77777777" w:rsidR="000152E6" w:rsidRDefault="000152E6" w:rsidP="00BD43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Check Chi Fai</w:t>
      </w:r>
    </w:p>
    <w:p w14:paraId="739D5628" w14:textId="0D22A3A5" w:rsidR="00EC61D4" w:rsidRDefault="00EC61D4" w:rsidP="00BD43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Reflecting on the discussion</w:t>
      </w:r>
    </w:p>
    <w:p w14:paraId="4065509C" w14:textId="1CC1D4CA" w:rsidR="00B97A3B" w:rsidRDefault="00B97A3B" w:rsidP="00BD43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Give a brief what you mentioned</w:t>
      </w:r>
    </w:p>
    <w:p w14:paraId="25875C88" w14:textId="77777777" w:rsidR="00514AEE" w:rsidRDefault="00514AEE" w:rsidP="00BD4300">
      <w:pPr>
        <w:rPr>
          <w:b/>
          <w:bCs/>
          <w:sz w:val="36"/>
          <w:szCs w:val="36"/>
        </w:rPr>
      </w:pPr>
    </w:p>
    <w:p w14:paraId="6BD69352" w14:textId="7A604174" w:rsidR="00514AEE" w:rsidRDefault="00514AEE" w:rsidP="00514AEE">
      <w:pPr>
        <w:rPr>
          <w:b/>
          <w:bCs/>
          <w:sz w:val="36"/>
          <w:szCs w:val="36"/>
        </w:rPr>
      </w:pPr>
      <w:r w:rsidRPr="00514AEE">
        <w:rPr>
          <w:b/>
          <w:bCs/>
          <w:sz w:val="36"/>
          <w:szCs w:val="36"/>
        </w:rPr>
        <w:t>Feedback from peers enriched this view substantially.</w:t>
      </w:r>
    </w:p>
    <w:p w14:paraId="4A8B3E50" w14:textId="15A2C20B" w:rsidR="00514AEE" w:rsidRDefault="00514AEE" w:rsidP="00514AE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Then add the following with references</w:t>
      </w:r>
    </w:p>
    <w:p w14:paraId="24BC5222" w14:textId="77777777" w:rsidR="00514AEE" w:rsidRDefault="00514AEE" w:rsidP="00BD4300">
      <w:pPr>
        <w:rPr>
          <w:b/>
          <w:bCs/>
          <w:sz w:val="36"/>
          <w:szCs w:val="36"/>
        </w:rPr>
      </w:pPr>
    </w:p>
    <w:p w14:paraId="461E6FCA" w14:textId="2C5FD5E4" w:rsidR="00BD4300" w:rsidRDefault="00BD4300" w:rsidP="00BD43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Cloud-based ITSM continues to provide organisations with real competitive advantages in scalability and flexibility, supporting them adapt quickly to shifting demands (</w:t>
      </w:r>
      <w:proofErr w:type="spellStart"/>
      <w:r>
        <w:rPr>
          <w:b/>
          <w:bCs/>
          <w:sz w:val="36"/>
          <w:szCs w:val="36"/>
        </w:rPr>
        <w:t>Sundelin</w:t>
      </w:r>
      <w:proofErr w:type="spellEnd"/>
      <w:r>
        <w:rPr>
          <w:b/>
          <w:bCs/>
          <w:sz w:val="36"/>
          <w:szCs w:val="36"/>
        </w:rPr>
        <w:t xml:space="preserve"> et al., 2020). Concurrently, the migration is not without drawbacks. As Khajeh-Hosseini et al. (2020) highlight, migration cost can be increased if initial modelling overlooks hidden expenses or understate complexity. Indeed, Gartner (2022, p. 14) highlights instances where </w:t>
      </w:r>
      <w:r w:rsidRPr="00087624">
        <w:rPr>
          <w:b/>
          <w:bCs/>
          <w:sz w:val="36"/>
          <w:szCs w:val="36"/>
        </w:rPr>
        <w:t>“cloud hosting can exceed the cost of well</w:t>
      </w:r>
      <w:r w:rsidRPr="00087624">
        <w:rPr>
          <w:b/>
          <w:bCs/>
          <w:sz w:val="36"/>
          <w:szCs w:val="36"/>
        </w:rPr>
        <w:noBreakHyphen/>
        <w:t>optimised on</w:t>
      </w:r>
      <w:r w:rsidRPr="00087624">
        <w:rPr>
          <w:b/>
          <w:bCs/>
          <w:sz w:val="36"/>
          <w:szCs w:val="36"/>
        </w:rPr>
        <w:noBreakHyphen/>
        <w:t>premises systems.”</w:t>
      </w:r>
    </w:p>
    <w:p w14:paraId="18B37945" w14:textId="77777777" w:rsidR="00BD4300" w:rsidRDefault="00BD4300" w:rsidP="00BD43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Another issue would be legal compliance, which applies to the sectors constrained by data sovereignty rules; therefore, resources must be </w:t>
      </w:r>
      <w:proofErr w:type="spellStart"/>
      <w:r>
        <w:rPr>
          <w:b/>
          <w:bCs/>
          <w:sz w:val="36"/>
          <w:szCs w:val="36"/>
        </w:rPr>
        <w:t>hostd</w:t>
      </w:r>
      <w:proofErr w:type="spellEnd"/>
      <w:r>
        <w:rPr>
          <w:b/>
          <w:bCs/>
          <w:sz w:val="36"/>
          <w:szCs w:val="36"/>
        </w:rPr>
        <w:t xml:space="preserve"> in a specific region (</w:t>
      </w:r>
      <w:proofErr w:type="spellStart"/>
      <w:r>
        <w:rPr>
          <w:b/>
          <w:bCs/>
          <w:sz w:val="36"/>
          <w:szCs w:val="36"/>
        </w:rPr>
        <w:t>Sundelin</w:t>
      </w:r>
      <w:proofErr w:type="spellEnd"/>
      <w:r>
        <w:rPr>
          <w:b/>
          <w:bCs/>
          <w:sz w:val="36"/>
          <w:szCs w:val="36"/>
        </w:rPr>
        <w:t xml:space="preserve"> et al., 2020). These precautionary considerations , which were highlighted in peer discussion (cited in </w:t>
      </w:r>
      <w:proofErr w:type="spellStart"/>
      <w:r>
        <w:rPr>
          <w:b/>
          <w:bCs/>
          <w:sz w:val="36"/>
          <w:szCs w:val="36"/>
        </w:rPr>
        <w:t>Vanevski</w:t>
      </w:r>
      <w:proofErr w:type="spellEnd"/>
      <w:r>
        <w:rPr>
          <w:b/>
          <w:bCs/>
          <w:sz w:val="36"/>
          <w:szCs w:val="36"/>
        </w:rPr>
        <w:t xml:space="preserve"> 2025), recommend that the cloud migration decision must be made based on </w:t>
      </w:r>
      <w:r>
        <w:rPr>
          <w:b/>
          <w:bCs/>
          <w:sz w:val="36"/>
          <w:szCs w:val="36"/>
        </w:rPr>
        <w:lastRenderedPageBreak/>
        <w:t>an effective strategy  that respects legal boundaries and a careful cost analysis. When these criteria are fulfilled the case for cloud migration remains strong and can be justified.</w:t>
      </w:r>
    </w:p>
    <w:p w14:paraId="106F3F55" w14:textId="77777777" w:rsidR="000227EF" w:rsidRDefault="000227EF"/>
    <w:p w14:paraId="7476AA76" w14:textId="77777777" w:rsidR="00B07461" w:rsidRPr="00B07461" w:rsidRDefault="00B07461" w:rsidP="00B07461">
      <w:r w:rsidRPr="00B07461">
        <w:t>Before / After Integration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6012"/>
      </w:tblGrid>
      <w:tr w:rsidR="00B07461" w:rsidRPr="00B07461" w14:paraId="1D318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65CC5" w14:textId="77777777" w:rsidR="00B07461" w:rsidRPr="00B07461" w:rsidRDefault="00B07461" w:rsidP="00B07461">
            <w:pPr>
              <w:rPr>
                <w:b/>
                <w:bCs/>
              </w:rPr>
            </w:pPr>
            <w:r w:rsidRPr="00B07461">
              <w:rPr>
                <w:b/>
                <w:bCs/>
              </w:rPr>
              <w:t>Your Original Points</w:t>
            </w:r>
          </w:p>
        </w:tc>
        <w:tc>
          <w:tcPr>
            <w:tcW w:w="0" w:type="auto"/>
            <w:vAlign w:val="center"/>
            <w:hideMark/>
          </w:tcPr>
          <w:p w14:paraId="62D19442" w14:textId="77777777" w:rsidR="00B07461" w:rsidRPr="00B07461" w:rsidRDefault="00B07461" w:rsidP="00B07461">
            <w:pPr>
              <w:rPr>
                <w:b/>
                <w:bCs/>
              </w:rPr>
            </w:pPr>
            <w:r w:rsidRPr="00B07461">
              <w:rPr>
                <w:b/>
                <w:bCs/>
              </w:rPr>
              <w:t>Enriched with Peer Feedback</w:t>
            </w:r>
          </w:p>
        </w:tc>
      </w:tr>
      <w:tr w:rsidR="00B07461" w:rsidRPr="00B07461" w14:paraId="09070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9A01" w14:textId="77777777" w:rsidR="00B07461" w:rsidRPr="00B07461" w:rsidRDefault="00B07461" w:rsidP="00B07461">
            <w:r w:rsidRPr="00B07461">
              <w:t>Cloud ITSM increases flexibility and scalability for organisations.</w:t>
            </w:r>
          </w:p>
        </w:tc>
        <w:tc>
          <w:tcPr>
            <w:tcW w:w="0" w:type="auto"/>
            <w:vAlign w:val="center"/>
            <w:hideMark/>
          </w:tcPr>
          <w:p w14:paraId="3680DF65" w14:textId="77777777" w:rsidR="00B07461" w:rsidRPr="00B07461" w:rsidRDefault="00B07461" w:rsidP="00B07461">
            <w:r w:rsidRPr="00B07461">
              <w:rPr>
                <w:b/>
                <w:bCs/>
              </w:rPr>
              <w:t>Flexibility and scalability remain key benefits</w:t>
            </w:r>
            <w:r w:rsidRPr="00B07461">
              <w:t xml:space="preserve"> — </w:t>
            </w:r>
            <w:r w:rsidRPr="00B07461">
              <w:rPr>
                <w:i/>
                <w:iCs/>
              </w:rPr>
              <w:t>provided</w:t>
            </w:r>
            <w:r w:rsidRPr="00B07461">
              <w:t xml:space="preserve"> compliance needs (e.g. data sovereignty laws) are addressed through local</w:t>
            </w:r>
            <w:r w:rsidRPr="00B07461">
              <w:noBreakHyphen/>
              <w:t>region hosting or hybrid setups.</w:t>
            </w:r>
          </w:p>
        </w:tc>
      </w:tr>
      <w:tr w:rsidR="00B07461" w:rsidRPr="00B07461" w14:paraId="41D9C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4925" w14:textId="77777777" w:rsidR="00B07461" w:rsidRPr="00B07461" w:rsidRDefault="00B07461" w:rsidP="00B07461">
            <w:r w:rsidRPr="00B07461">
              <w:t>Migrating to cloud can lower operational costs and improve ROI.</w:t>
            </w:r>
          </w:p>
        </w:tc>
        <w:tc>
          <w:tcPr>
            <w:tcW w:w="0" w:type="auto"/>
            <w:vAlign w:val="center"/>
            <w:hideMark/>
          </w:tcPr>
          <w:p w14:paraId="78F3F3B8" w14:textId="77777777" w:rsidR="00B07461" w:rsidRPr="00B07461" w:rsidRDefault="00B07461" w:rsidP="00B07461">
            <w:r w:rsidRPr="00B07461">
              <w:t xml:space="preserve">Acknowledge </w:t>
            </w:r>
            <w:r w:rsidRPr="00B07461">
              <w:rPr>
                <w:b/>
                <w:bCs/>
              </w:rPr>
              <w:t>potential cost pitfalls</w:t>
            </w:r>
            <w:r w:rsidRPr="00B07461">
              <w:t xml:space="preserve"> — ROI can be reduced if modelling ignores hidden fees, migration complexity, or workload profiles that don’t suit the cloud.</w:t>
            </w:r>
          </w:p>
        </w:tc>
      </w:tr>
      <w:tr w:rsidR="00B07461" w:rsidRPr="00B07461" w14:paraId="64764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A593" w14:textId="77777777" w:rsidR="00B07461" w:rsidRPr="00B07461" w:rsidRDefault="00B07461" w:rsidP="00B07461">
            <w:r w:rsidRPr="00B07461">
              <w:t>Cloud services improve disaster recovery and accessibility.</w:t>
            </w:r>
          </w:p>
        </w:tc>
        <w:tc>
          <w:tcPr>
            <w:tcW w:w="0" w:type="auto"/>
            <w:vAlign w:val="center"/>
            <w:hideMark/>
          </w:tcPr>
          <w:p w14:paraId="4929D251" w14:textId="77777777" w:rsidR="00B07461" w:rsidRPr="00B07461" w:rsidRDefault="00B07461" w:rsidP="00B07461">
            <w:r w:rsidRPr="00B07461">
              <w:t xml:space="preserve">Retain DR/accessibility strengths, while noting that for regulated sectors, </w:t>
            </w:r>
            <w:r w:rsidRPr="00B07461">
              <w:rPr>
                <w:b/>
                <w:bCs/>
              </w:rPr>
              <w:t>in</w:t>
            </w:r>
            <w:r w:rsidRPr="00B07461">
              <w:rPr>
                <w:b/>
                <w:bCs/>
              </w:rPr>
              <w:noBreakHyphen/>
              <w:t>region replication</w:t>
            </w:r>
            <w:r w:rsidRPr="00B07461">
              <w:t xml:space="preserve"> may be required to meet legal obligations.</w:t>
            </w:r>
          </w:p>
        </w:tc>
      </w:tr>
      <w:tr w:rsidR="00B07461" w:rsidRPr="00B07461" w14:paraId="6C70B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CF72" w14:textId="77777777" w:rsidR="00B07461" w:rsidRPr="00B07461" w:rsidRDefault="00B07461" w:rsidP="00B07461">
            <w:r w:rsidRPr="00B07461">
              <w:t xml:space="preserve">Organisations benefit from shifting </w:t>
            </w:r>
            <w:proofErr w:type="spellStart"/>
            <w:r w:rsidRPr="00B07461">
              <w:t>CapEx</w:t>
            </w:r>
            <w:proofErr w:type="spellEnd"/>
            <w:r w:rsidRPr="00B07461">
              <w:t xml:space="preserve"> to </w:t>
            </w:r>
            <w:proofErr w:type="spellStart"/>
            <w:r w:rsidRPr="00B07461">
              <w:t>OpEx</w:t>
            </w:r>
            <w:proofErr w:type="spellEnd"/>
            <w:r w:rsidRPr="00B07461">
              <w:t>.</w:t>
            </w:r>
          </w:p>
        </w:tc>
        <w:tc>
          <w:tcPr>
            <w:tcW w:w="0" w:type="auto"/>
            <w:vAlign w:val="center"/>
            <w:hideMark/>
          </w:tcPr>
          <w:p w14:paraId="24A51704" w14:textId="77777777" w:rsidR="00B07461" w:rsidRPr="00B07461" w:rsidRDefault="00B07461" w:rsidP="00B07461">
            <w:r w:rsidRPr="00B07461">
              <w:t>Still true — but include peer</w:t>
            </w:r>
            <w:r w:rsidRPr="00B07461">
              <w:noBreakHyphen/>
              <w:t>cited research (</w:t>
            </w:r>
            <w:proofErr w:type="spellStart"/>
            <w:r w:rsidRPr="00B07461">
              <w:t>Sundelin</w:t>
            </w:r>
            <w:proofErr w:type="spellEnd"/>
            <w:r w:rsidRPr="00B07461">
              <w:rPr>
                <w:rFonts w:ascii="Arial" w:hAnsi="Arial" w:cs="Arial"/>
              </w:rPr>
              <w:t> </w:t>
            </w:r>
            <w:r w:rsidRPr="00B07461">
              <w:t>et</w:t>
            </w:r>
            <w:r w:rsidRPr="00B07461">
              <w:rPr>
                <w:rFonts w:ascii="Arial" w:hAnsi="Arial" w:cs="Arial"/>
              </w:rPr>
              <w:t> </w:t>
            </w:r>
            <w:r w:rsidRPr="00B07461">
              <w:t>al., Khajeh</w:t>
            </w:r>
            <w:r w:rsidRPr="00B07461">
              <w:noBreakHyphen/>
            </w:r>
            <w:proofErr w:type="spellStart"/>
            <w:r w:rsidRPr="00B07461">
              <w:t>Hoseini</w:t>
            </w:r>
            <w:proofErr w:type="spellEnd"/>
            <w:r w:rsidRPr="00B07461">
              <w:t>, Gartner) to underscore that the financial model must be grounded in realistic, complete cost analysis.</w:t>
            </w:r>
          </w:p>
        </w:tc>
      </w:tr>
      <w:tr w:rsidR="00B07461" w:rsidRPr="00B07461" w14:paraId="1A521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634F" w14:textId="77777777" w:rsidR="00B07461" w:rsidRPr="00B07461" w:rsidRDefault="00B07461" w:rsidP="00B07461">
            <w:r w:rsidRPr="00B07461">
              <w:t>Migration should be a forward</w:t>
            </w:r>
            <w:r w:rsidRPr="00B07461">
              <w:noBreakHyphen/>
              <w:t>looking, strategic step for growth.</w:t>
            </w:r>
          </w:p>
        </w:tc>
        <w:tc>
          <w:tcPr>
            <w:tcW w:w="0" w:type="auto"/>
            <w:vAlign w:val="center"/>
            <w:hideMark/>
          </w:tcPr>
          <w:p w14:paraId="6905B087" w14:textId="77777777" w:rsidR="00B07461" w:rsidRPr="00B07461" w:rsidRDefault="00B07461" w:rsidP="00B07461">
            <w:r w:rsidRPr="00B07461">
              <w:t xml:space="preserve">Frame it as a </w:t>
            </w:r>
            <w:r w:rsidRPr="00B07461">
              <w:rPr>
                <w:b/>
                <w:bCs/>
              </w:rPr>
              <w:t>conditional strategy</w:t>
            </w:r>
            <w:r w:rsidRPr="00B07461">
              <w:t xml:space="preserve"> — adopt cloud when both benefits and compliance/cost checks align, not by default.</w:t>
            </w:r>
          </w:p>
        </w:tc>
      </w:tr>
    </w:tbl>
    <w:p w14:paraId="0C713750" w14:textId="77777777" w:rsidR="005351B4" w:rsidRDefault="005351B4"/>
    <w:p w14:paraId="04141824" w14:textId="77777777" w:rsidR="005351B4" w:rsidRDefault="005351B4"/>
    <w:p w14:paraId="164E92B7" w14:textId="77777777" w:rsidR="00AB2BDB" w:rsidRDefault="00AB2BDB"/>
    <w:p w14:paraId="1105F1CC" w14:textId="77777777" w:rsidR="005351B4" w:rsidRDefault="005351B4"/>
    <w:p w14:paraId="320419AF" w14:textId="77777777" w:rsidR="00656E88" w:rsidRDefault="005351B4" w:rsidP="005351B4">
      <w:pPr>
        <w:rPr>
          <w:b/>
          <w:bCs/>
          <w:sz w:val="36"/>
          <w:szCs w:val="36"/>
        </w:rPr>
      </w:pPr>
      <w:r w:rsidRPr="00895082">
        <w:rPr>
          <w:b/>
          <w:bCs/>
          <w:sz w:val="36"/>
          <w:szCs w:val="36"/>
        </w:rPr>
        <w:t>Reference list</w:t>
      </w:r>
    </w:p>
    <w:p w14:paraId="337A8DF9" w14:textId="77777777" w:rsidR="00656E88" w:rsidRDefault="00656E88" w:rsidP="005351B4">
      <w:pPr>
        <w:rPr>
          <w:b/>
          <w:bCs/>
          <w:sz w:val="36"/>
          <w:szCs w:val="36"/>
        </w:rPr>
      </w:pPr>
    </w:p>
    <w:p w14:paraId="7FA54A31" w14:textId="77777777" w:rsidR="00656E88" w:rsidRPr="00895082" w:rsidRDefault="00656E88" w:rsidP="00656E88">
      <w:pPr>
        <w:rPr>
          <w:b/>
          <w:bCs/>
          <w:sz w:val="36"/>
          <w:szCs w:val="36"/>
        </w:rPr>
      </w:pPr>
      <w:r w:rsidRPr="00895082">
        <w:rPr>
          <w:b/>
          <w:bCs/>
          <w:sz w:val="36"/>
          <w:szCs w:val="36"/>
        </w:rPr>
        <w:lastRenderedPageBreak/>
        <w:t>Gartner,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 xml:space="preserve">2022. </w:t>
      </w:r>
      <w:r w:rsidRPr="00895082">
        <w:rPr>
          <w:b/>
          <w:bCs/>
          <w:i/>
          <w:iCs/>
          <w:sz w:val="36"/>
          <w:szCs w:val="36"/>
        </w:rPr>
        <w:t>Cloud Migration Risks and Mitigation Strategies</w:t>
      </w:r>
      <w:r w:rsidRPr="00895082">
        <w:rPr>
          <w:b/>
          <w:bCs/>
          <w:sz w:val="36"/>
          <w:szCs w:val="36"/>
        </w:rPr>
        <w:t xml:space="preserve">. [online] Available at: </w:t>
      </w:r>
      <w:hyperlink r:id="rId7" w:history="1">
        <w:r w:rsidRPr="00895082">
          <w:rPr>
            <w:rStyle w:val="Hyperlink"/>
            <w:b/>
            <w:bCs/>
            <w:sz w:val="36"/>
            <w:szCs w:val="36"/>
          </w:rPr>
          <w:t>https://www.gartner.com/...</w:t>
        </w:r>
      </w:hyperlink>
      <w:r w:rsidRPr="00895082">
        <w:rPr>
          <w:b/>
          <w:bCs/>
          <w:sz w:val="36"/>
          <w:szCs w:val="36"/>
        </w:rPr>
        <w:t xml:space="preserve"> [Accessed 19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>Aug.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>2025].</w:t>
      </w:r>
    </w:p>
    <w:p w14:paraId="60DAC2DA" w14:textId="77777777" w:rsidR="00AB2BDB" w:rsidRDefault="00AB2BDB" w:rsidP="005351B4">
      <w:pPr>
        <w:rPr>
          <w:b/>
          <w:bCs/>
          <w:sz w:val="36"/>
          <w:szCs w:val="36"/>
        </w:rPr>
      </w:pPr>
    </w:p>
    <w:p w14:paraId="152CF360" w14:textId="77777777" w:rsidR="00AB2BDB" w:rsidRPr="00895082" w:rsidRDefault="00AB2BDB" w:rsidP="00AB2BDB">
      <w:pPr>
        <w:rPr>
          <w:b/>
          <w:bCs/>
          <w:sz w:val="36"/>
          <w:szCs w:val="36"/>
        </w:rPr>
      </w:pPr>
      <w:r w:rsidRPr="00895082">
        <w:rPr>
          <w:b/>
          <w:bCs/>
          <w:sz w:val="36"/>
          <w:szCs w:val="36"/>
        </w:rPr>
        <w:t>Khajeh</w:t>
      </w:r>
      <w:r w:rsidRPr="00895082">
        <w:rPr>
          <w:b/>
          <w:bCs/>
          <w:sz w:val="36"/>
          <w:szCs w:val="36"/>
        </w:rPr>
        <w:noBreakHyphen/>
        <w:t>Hosseini,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>A., Greenwood,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>D., &amp; Sommerville,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>I.,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 xml:space="preserve">2010. </w:t>
      </w:r>
      <w:r w:rsidRPr="00895082">
        <w:rPr>
          <w:b/>
          <w:bCs/>
          <w:i/>
          <w:iCs/>
          <w:sz w:val="36"/>
          <w:szCs w:val="36"/>
        </w:rPr>
        <w:t>The Cloud Adoption Toolkit: Supporting Cloud Adoption Decisions in the Enterprise</w:t>
      </w:r>
      <w:r w:rsidRPr="00895082">
        <w:rPr>
          <w:b/>
          <w:bCs/>
          <w:sz w:val="36"/>
          <w:szCs w:val="36"/>
        </w:rPr>
        <w:t xml:space="preserve">. In: </w:t>
      </w:r>
      <w:r w:rsidRPr="00895082">
        <w:rPr>
          <w:b/>
          <w:bCs/>
          <w:i/>
          <w:iCs/>
          <w:sz w:val="36"/>
          <w:szCs w:val="36"/>
        </w:rPr>
        <w:t>IEEE CLOUD 2010</w:t>
      </w:r>
      <w:r w:rsidRPr="00895082">
        <w:rPr>
          <w:b/>
          <w:bCs/>
          <w:sz w:val="36"/>
          <w:szCs w:val="36"/>
        </w:rPr>
        <w:t>. Miami, FL, 5</w:t>
      </w:r>
      <w:r w:rsidRPr="00895082">
        <w:rPr>
          <w:b/>
          <w:bCs/>
          <w:sz w:val="36"/>
          <w:szCs w:val="36"/>
        </w:rPr>
        <w:noBreakHyphen/>
        <w:t>10 July. IEEE, pp.336</w:t>
      </w:r>
      <w:r w:rsidRPr="00895082">
        <w:rPr>
          <w:b/>
          <w:bCs/>
          <w:sz w:val="36"/>
          <w:szCs w:val="36"/>
        </w:rPr>
        <w:noBreakHyphen/>
        <w:t>343.</w:t>
      </w:r>
    </w:p>
    <w:p w14:paraId="0A0C4E85" w14:textId="77777777" w:rsidR="00AB2BDB" w:rsidRDefault="00AB2BDB" w:rsidP="005351B4">
      <w:pPr>
        <w:rPr>
          <w:b/>
          <w:bCs/>
          <w:sz w:val="36"/>
          <w:szCs w:val="36"/>
        </w:rPr>
      </w:pPr>
    </w:p>
    <w:p w14:paraId="4D7E2E46" w14:textId="4372113E" w:rsidR="005351B4" w:rsidRPr="00895082" w:rsidRDefault="005351B4" w:rsidP="005351B4">
      <w:pPr>
        <w:rPr>
          <w:b/>
          <w:bCs/>
          <w:sz w:val="36"/>
          <w:szCs w:val="36"/>
        </w:rPr>
      </w:pPr>
      <w:r w:rsidRPr="00895082">
        <w:rPr>
          <w:b/>
          <w:bCs/>
          <w:sz w:val="36"/>
          <w:szCs w:val="36"/>
        </w:rPr>
        <w:br/>
      </w:r>
      <w:proofErr w:type="spellStart"/>
      <w:r w:rsidRPr="00895082">
        <w:rPr>
          <w:b/>
          <w:bCs/>
          <w:sz w:val="36"/>
          <w:szCs w:val="36"/>
        </w:rPr>
        <w:t>Sundelin</w:t>
      </w:r>
      <w:proofErr w:type="spellEnd"/>
      <w:r w:rsidRPr="00895082">
        <w:rPr>
          <w:b/>
          <w:bCs/>
          <w:sz w:val="36"/>
          <w:szCs w:val="36"/>
        </w:rPr>
        <w:t>,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>R., Andersson,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>B., &amp; Holm,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>H.,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 xml:space="preserve">2020. </w:t>
      </w:r>
      <w:r w:rsidRPr="00895082">
        <w:rPr>
          <w:b/>
          <w:bCs/>
          <w:i/>
          <w:iCs/>
          <w:sz w:val="36"/>
          <w:szCs w:val="36"/>
        </w:rPr>
        <w:t>Evaluating cloud migration strategies for regulated industries</w:t>
      </w:r>
      <w:r w:rsidRPr="00895082">
        <w:rPr>
          <w:b/>
          <w:bCs/>
          <w:sz w:val="36"/>
          <w:szCs w:val="36"/>
        </w:rPr>
        <w:t xml:space="preserve">. </w:t>
      </w:r>
      <w:r w:rsidRPr="00895082">
        <w:rPr>
          <w:b/>
          <w:bCs/>
          <w:i/>
          <w:iCs/>
          <w:sz w:val="36"/>
          <w:szCs w:val="36"/>
        </w:rPr>
        <w:t>Journal of Information Systems Management</w:t>
      </w:r>
      <w:r w:rsidRPr="00895082">
        <w:rPr>
          <w:b/>
          <w:bCs/>
          <w:sz w:val="36"/>
          <w:szCs w:val="36"/>
        </w:rPr>
        <w:t>,</w:t>
      </w:r>
      <w:r w:rsidRPr="00895082">
        <w:rPr>
          <w:rFonts w:ascii="Arial" w:hAnsi="Arial" w:cs="Arial"/>
          <w:b/>
          <w:bCs/>
          <w:sz w:val="36"/>
          <w:szCs w:val="36"/>
        </w:rPr>
        <w:t> </w:t>
      </w:r>
      <w:r w:rsidRPr="00895082">
        <w:rPr>
          <w:b/>
          <w:bCs/>
          <w:sz w:val="36"/>
          <w:szCs w:val="36"/>
        </w:rPr>
        <w:t>37(2), pp.40</w:t>
      </w:r>
      <w:r w:rsidRPr="00895082">
        <w:rPr>
          <w:b/>
          <w:bCs/>
          <w:sz w:val="36"/>
          <w:szCs w:val="36"/>
        </w:rPr>
        <w:noBreakHyphen/>
        <w:t>52.</w:t>
      </w:r>
    </w:p>
    <w:p w14:paraId="762390FD" w14:textId="77777777" w:rsidR="005351B4" w:rsidRDefault="005351B4"/>
    <w:sectPr w:rsidR="00535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00"/>
    <w:rsid w:val="000152E6"/>
    <w:rsid w:val="000227EF"/>
    <w:rsid w:val="00296E32"/>
    <w:rsid w:val="00375D1C"/>
    <w:rsid w:val="00514AEE"/>
    <w:rsid w:val="005351B4"/>
    <w:rsid w:val="0055756D"/>
    <w:rsid w:val="00656E88"/>
    <w:rsid w:val="009A5929"/>
    <w:rsid w:val="00AB2BDB"/>
    <w:rsid w:val="00B07461"/>
    <w:rsid w:val="00B97A3B"/>
    <w:rsid w:val="00BD4300"/>
    <w:rsid w:val="00D730C6"/>
    <w:rsid w:val="00EC61D4"/>
    <w:rsid w:val="00FC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9407"/>
  <w15:chartTrackingRefBased/>
  <w15:docId w15:val="{DC44705B-DAB0-4FFC-A24D-C90714D7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300"/>
  </w:style>
  <w:style w:type="paragraph" w:styleId="Heading1">
    <w:name w:val="heading 1"/>
    <w:basedOn w:val="Normal"/>
    <w:next w:val="Normal"/>
    <w:link w:val="Heading1Char"/>
    <w:uiPriority w:val="9"/>
    <w:qFormat/>
    <w:rsid w:val="00BD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51B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gartner.com/...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41FB8A20D8664E8DC4FFA95B22259D" ma:contentTypeVersion="8" ma:contentTypeDescription="Create a new document." ma:contentTypeScope="" ma:versionID="95b9fc49960c38544c8ab48ce98f9517">
  <xsd:schema xmlns:xsd="http://www.w3.org/2001/XMLSchema" xmlns:xs="http://www.w3.org/2001/XMLSchema" xmlns:p="http://schemas.microsoft.com/office/2006/metadata/properties" xmlns:ns3="037dbc70-87fc-48c9-b303-505dabcccc13" targetNamespace="http://schemas.microsoft.com/office/2006/metadata/properties" ma:root="true" ma:fieldsID="85ee4a386881b1e2c71dac357925ce68" ns3:_="">
    <xsd:import namespace="037dbc70-87fc-48c9-b303-505dabcccc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dbc70-87fc-48c9-b303-505dabcccc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6051D-2516-4A25-80EE-85F2A5EFA1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062BB2-F8BE-423E-9A3C-CD25A93DD2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4CFCC3-55EA-42E7-B744-26B54B6AAC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dbc70-87fc-48c9-b303-505dabccc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12</cp:revision>
  <dcterms:created xsi:type="dcterms:W3CDTF">2025-08-19T10:04:00Z</dcterms:created>
  <dcterms:modified xsi:type="dcterms:W3CDTF">2025-08-22T13:00:00Z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0x010100D841FB8A20D8664E8DC4FFA95B22259D</vt:lpwstr>
  </property>
</Properties>
</file>