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49F5" w14:textId="77777777" w:rsidR="0079282E" w:rsidRPr="0079282E" w:rsidRDefault="0079282E" w:rsidP="0079282E">
      <w:pPr>
        <w:rPr>
          <w:rFonts w:asciiTheme="minorBidi" w:hAnsiTheme="minorBidi"/>
          <w:sz w:val="22"/>
          <w:szCs w:val="22"/>
        </w:rPr>
      </w:pPr>
      <w:r w:rsidRPr="0079282E">
        <w:rPr>
          <w:rFonts w:asciiTheme="minorBidi" w:hAnsiTheme="minorBidi"/>
          <w:sz w:val="22"/>
          <w:szCs w:val="22"/>
        </w:rPr>
        <w:t>Reflecting on my earlier thoughts regarding managing IT services in the cloud, I discussed how service-orientated architecture and virtualisation technology have significantly impacted the way businesses use IT. Referring to Doe &amp; Malik (2023), McKinsey (2024), Microsoft (2025), Salla (2025), and Lingel (2022), I argued that cloud migration will enhance scalability, lower infrastructure costs, and encourage innovation, especially in healthcare telemedicine and secure data handling.</w:t>
      </w:r>
    </w:p>
    <w:p w14:paraId="7F80FD43" w14:textId="77777777" w:rsidR="0079282E" w:rsidRPr="0079282E" w:rsidRDefault="0079282E" w:rsidP="0079282E">
      <w:pPr>
        <w:rPr>
          <w:rFonts w:asciiTheme="minorBidi" w:hAnsiTheme="minorBidi"/>
          <w:sz w:val="22"/>
          <w:szCs w:val="22"/>
        </w:rPr>
      </w:pPr>
      <w:r w:rsidRPr="0079282E">
        <w:rPr>
          <w:rFonts w:asciiTheme="minorBidi" w:hAnsiTheme="minorBidi"/>
          <w:sz w:val="22"/>
          <w:szCs w:val="22"/>
        </w:rPr>
        <w:t>While many organisations continue to rely on capital expenditure (CapEx) models, they are increasingly adopting operational expenditure (OpEx) via cloud-based ITSM (C.B.-ITSM) to maintain agility. This migration let them respond faster to altering business demands and scale services more flexibly, aligning IT capabilities with strategic goals (Sundelin et al. 2020). Reflecting on Unit 1 and Unit 2, C.B.-ITSM enables organisations to efficiently manage IT services, processes, and infrastructure using cloud technology, enhancing agility and scalability” (EITBOK, 2020).1. ¹</w:t>
      </w:r>
    </w:p>
    <w:p w14:paraId="1280FB90" w14:textId="77777777" w:rsidR="0079282E" w:rsidRPr="0079282E" w:rsidRDefault="0079282E" w:rsidP="0079282E">
      <w:pPr>
        <w:rPr>
          <w:rFonts w:asciiTheme="minorBidi" w:hAnsiTheme="minorBidi"/>
          <w:sz w:val="22"/>
          <w:szCs w:val="22"/>
        </w:rPr>
      </w:pPr>
      <w:r w:rsidRPr="0079282E">
        <w:rPr>
          <w:rFonts w:asciiTheme="minorBidi" w:hAnsiTheme="minorBidi"/>
          <w:sz w:val="22"/>
          <w:szCs w:val="22"/>
        </w:rPr>
        <w:t>The optimisation of C.B.-ITSM depends not only on algorithmic efficiency (Unit 3) but also on robust software engineering principles, including maintainability, modularity, and lifecycle planning (Unit 4). Moreover, algorithms are the engines behind automation, scalability, and service optimisation in C.B.-ITSM (Unit 3). ²</w:t>
      </w:r>
    </w:p>
    <w:p w14:paraId="793F7F7A" w14:textId="4D1FB97C" w:rsidR="0079282E" w:rsidRPr="0079282E" w:rsidRDefault="0079282E" w:rsidP="0079282E">
      <w:pPr>
        <w:rPr>
          <w:rFonts w:asciiTheme="minorBidi" w:hAnsiTheme="minorBidi"/>
          <w:sz w:val="22"/>
          <w:szCs w:val="22"/>
        </w:rPr>
      </w:pPr>
      <w:r w:rsidRPr="0079282E">
        <w:rPr>
          <w:rFonts w:asciiTheme="minorBidi" w:hAnsiTheme="minorBidi"/>
          <w:sz w:val="22"/>
          <w:szCs w:val="22"/>
        </w:rPr>
        <w:t xml:space="preserve">Reflecting on my classmate’s post, cited in Vanevski (2025), </w:t>
      </w:r>
      <w:r w:rsidR="00DE2C71">
        <w:rPr>
          <w:rFonts w:asciiTheme="minorBidi" w:hAnsiTheme="minorBidi"/>
          <w:sz w:val="22"/>
          <w:szCs w:val="22"/>
        </w:rPr>
        <w:t xml:space="preserve">a </w:t>
      </w:r>
      <w:r w:rsidRPr="0079282E">
        <w:rPr>
          <w:rFonts w:asciiTheme="minorBidi" w:hAnsiTheme="minorBidi"/>
          <w:sz w:val="22"/>
          <w:szCs w:val="22"/>
        </w:rPr>
        <w:t>migration is not without drawbacks. As Khajeh-Hosseini et al. (2020) highlight, migration cost can be increased if initial modelling overlooks hidden expenses or understates complexity. In fact, Gartner (2022, p. 14) highlights instances where “cloud hosting can exceed the cost of well</w:t>
      </w:r>
      <w:r w:rsidRPr="0079282E">
        <w:rPr>
          <w:rFonts w:asciiTheme="minorBidi" w:hAnsiTheme="minorBidi"/>
          <w:sz w:val="22"/>
          <w:szCs w:val="22"/>
        </w:rPr>
        <w:noBreakHyphen/>
        <w:t>optimised on</w:t>
      </w:r>
      <w:r w:rsidRPr="0079282E">
        <w:rPr>
          <w:rFonts w:asciiTheme="minorBidi" w:hAnsiTheme="minorBidi"/>
          <w:sz w:val="22"/>
          <w:szCs w:val="22"/>
        </w:rPr>
        <w:noBreakHyphen/>
        <w:t>premises systems.” Even though, organisations still benefit from shifting CapEx to OpEx (TownerKC, 2025).</w:t>
      </w:r>
    </w:p>
    <w:p w14:paraId="140A660E" w14:textId="77777777" w:rsidR="0079282E" w:rsidRPr="0079282E" w:rsidRDefault="0079282E" w:rsidP="0079282E">
      <w:pPr>
        <w:rPr>
          <w:rFonts w:asciiTheme="minorBidi" w:hAnsiTheme="minorBidi"/>
          <w:sz w:val="22"/>
          <w:szCs w:val="22"/>
        </w:rPr>
      </w:pPr>
      <w:r w:rsidRPr="0079282E">
        <w:rPr>
          <w:rFonts w:asciiTheme="minorBidi" w:hAnsiTheme="minorBidi"/>
          <w:sz w:val="22"/>
          <w:szCs w:val="22"/>
        </w:rPr>
        <w:t>Another issue would be legal compliance, which applies to the sectors constrained by data sovereignty rules. For instance, Microsoft (2024) states that Microsoft Azure, operated in China, must comply with Chinese data sovereignty laws, which require customer data to be stored within mainland China. GEL (2021) provides a comprehensive overview of cloud strategy development within the ITIL framework and claims that a cloud strategy should be aligned with the strategic organization's objectives.</w:t>
      </w:r>
    </w:p>
    <w:p w14:paraId="6DF9EEF1" w14:textId="77777777" w:rsidR="0079282E" w:rsidRPr="0079282E" w:rsidRDefault="0079282E" w:rsidP="0079282E">
      <w:pPr>
        <w:rPr>
          <w:rFonts w:asciiTheme="minorBidi" w:hAnsiTheme="minorBidi"/>
          <w:sz w:val="22"/>
          <w:szCs w:val="22"/>
        </w:rPr>
      </w:pPr>
      <w:r w:rsidRPr="0079282E">
        <w:rPr>
          <w:rFonts w:asciiTheme="minorBidi" w:hAnsiTheme="minorBidi"/>
          <w:sz w:val="22"/>
          <w:szCs w:val="22"/>
        </w:rPr>
        <w:t>In conclusion, cloud technologies provide organisations with competitive advantages. However, migration decisions should be based on an effective strategy that not only respects legal boundaries and a careful cost analysis but also aligns with the strategic organization’s objectives.</w:t>
      </w:r>
    </w:p>
    <w:p w14:paraId="06C928F6" w14:textId="77777777" w:rsidR="006F53E6" w:rsidRPr="0079282E" w:rsidRDefault="006F53E6" w:rsidP="00BD4300">
      <w:pPr>
        <w:rPr>
          <w:rFonts w:asciiTheme="minorBidi" w:hAnsiTheme="minorBidi"/>
          <w:sz w:val="22"/>
          <w:szCs w:val="22"/>
        </w:rPr>
      </w:pPr>
    </w:p>
    <w:p w14:paraId="71B778EA" w14:textId="77777777" w:rsidR="009E2A6A" w:rsidRDefault="009E2A6A" w:rsidP="00BD4300">
      <w:pPr>
        <w:rPr>
          <w:b/>
          <w:bCs/>
          <w:sz w:val="36"/>
          <w:szCs w:val="36"/>
        </w:rPr>
      </w:pPr>
    </w:p>
    <w:p w14:paraId="7A12FE21" w14:textId="77777777" w:rsidR="00024A1F" w:rsidRDefault="00024A1F" w:rsidP="001251DD">
      <w:pPr>
        <w:rPr>
          <w:rFonts w:asciiTheme="minorBidi" w:hAnsiTheme="minorBidi"/>
        </w:rPr>
      </w:pPr>
    </w:p>
    <w:p w14:paraId="43AD8252" w14:textId="77777777" w:rsidR="0079282E" w:rsidRDefault="0079282E" w:rsidP="001251DD">
      <w:pPr>
        <w:rPr>
          <w:rFonts w:asciiTheme="minorBidi" w:hAnsiTheme="minorBidi"/>
        </w:rPr>
      </w:pPr>
    </w:p>
    <w:p w14:paraId="68D0399B" w14:textId="77777777" w:rsidR="0079282E" w:rsidRDefault="0079282E" w:rsidP="001251DD">
      <w:pPr>
        <w:rPr>
          <w:rFonts w:asciiTheme="minorBidi" w:hAnsiTheme="minorBidi"/>
        </w:rPr>
      </w:pPr>
    </w:p>
    <w:p w14:paraId="62C259EB" w14:textId="77777777" w:rsidR="0079282E" w:rsidRDefault="0079282E" w:rsidP="001251DD">
      <w:pPr>
        <w:rPr>
          <w:b/>
          <w:bCs/>
        </w:rPr>
      </w:pPr>
    </w:p>
    <w:p w14:paraId="5F0E9782" w14:textId="51F689D8" w:rsidR="001251DD" w:rsidRPr="001251DD" w:rsidRDefault="001251DD" w:rsidP="001251DD">
      <w:r w:rsidRPr="001251DD">
        <w:rPr>
          <w:b/>
          <w:bCs/>
        </w:rPr>
        <w:lastRenderedPageBreak/>
        <w:t>References</w:t>
      </w:r>
    </w:p>
    <w:p w14:paraId="4DD72C52" w14:textId="77777777" w:rsidR="001251DD" w:rsidRDefault="001251DD" w:rsidP="001251DD">
      <w:r w:rsidRPr="001251DD">
        <w:t>Doe, P. &amp; Malik, R. (2023). </w:t>
      </w:r>
      <w:r w:rsidRPr="001251DD">
        <w:rPr>
          <w:i/>
          <w:iCs/>
        </w:rPr>
        <w:t>Balancing Flexibility and Governance in Cloud-Based ITSM</w:t>
      </w:r>
      <w:r w:rsidRPr="001251DD">
        <w:t>, Journal of Enterprise Technology Management, 11(2), pp. 87–101. Available at: </w:t>
      </w:r>
      <w:hyperlink r:id="rId10" w:history="1">
        <w:r w:rsidRPr="001251DD">
          <w:rPr>
            <w:rStyle w:val="Hyperlink"/>
            <w:b/>
            <w:bCs/>
          </w:rPr>
          <w:t>https://www.jetmjournal.org/articles/2023-balancing-flexibility-it-management</w:t>
        </w:r>
      </w:hyperlink>
      <w:r w:rsidRPr="001251DD">
        <w:t> (Accessed: 3 August 2025). </w:t>
      </w:r>
    </w:p>
    <w:p w14:paraId="2EAF79CE" w14:textId="77777777" w:rsidR="007B7636" w:rsidRPr="007B7636" w:rsidRDefault="007B7636" w:rsidP="007B7636">
      <w:r w:rsidRPr="007B7636">
        <w:t xml:space="preserve">EITBOK (2020) </w:t>
      </w:r>
      <w:r w:rsidRPr="007B7636">
        <w:rPr>
          <w:i/>
          <w:iCs/>
        </w:rPr>
        <w:t>Enterprise IT Body of Knowledge</w:t>
      </w:r>
      <w:r w:rsidRPr="007B7636">
        <w:t xml:space="preserve">. Available at: </w:t>
      </w:r>
      <w:hyperlink r:id="rId11" w:history="1">
        <w:r w:rsidRPr="007B7636">
          <w:rPr>
            <w:rStyle w:val="Hyperlink"/>
          </w:rPr>
          <w:t>http://eitbokwiki.org/Main_Page</w:t>
        </w:r>
      </w:hyperlink>
      <w:r w:rsidRPr="007B7636">
        <w:t xml:space="preserve"> (Accessed: 25 August 2025).</w:t>
      </w:r>
    </w:p>
    <w:p w14:paraId="207CB1CA" w14:textId="13B6D244" w:rsidR="00B64447" w:rsidRDefault="00ED1738" w:rsidP="00B6029D">
      <w:r w:rsidRPr="00ED1738">
        <w:t>Gartner,</w:t>
      </w:r>
      <w:r w:rsidRPr="00ED1738">
        <w:rPr>
          <w:rFonts w:ascii="Arial" w:hAnsi="Arial" w:cs="Arial"/>
        </w:rPr>
        <w:t> </w:t>
      </w:r>
      <w:r w:rsidRPr="00ED1738">
        <w:t xml:space="preserve">2022. Cloud Migration Risks and Mitigation Strategies. [online] Available at: </w:t>
      </w:r>
      <w:hyperlink r:id="rId12" w:history="1">
        <w:r w:rsidRPr="00A212D6">
          <w:rPr>
            <w:rStyle w:val="Hyperlink"/>
          </w:rPr>
          <w:t>https://www.gartner.com/</w:t>
        </w:r>
      </w:hyperlink>
      <w:r>
        <w:t xml:space="preserve"> </w:t>
      </w:r>
      <w:r w:rsidRPr="00ED1738">
        <w:t>... [Accessed 19</w:t>
      </w:r>
      <w:r w:rsidRPr="00ED1738">
        <w:rPr>
          <w:rFonts w:ascii="Arial" w:hAnsi="Arial" w:cs="Arial"/>
        </w:rPr>
        <w:t> </w:t>
      </w:r>
      <w:r w:rsidRPr="00ED1738">
        <w:t>Aug.</w:t>
      </w:r>
      <w:r w:rsidRPr="00ED1738">
        <w:rPr>
          <w:rFonts w:ascii="Arial" w:hAnsi="Arial" w:cs="Arial"/>
        </w:rPr>
        <w:t> </w:t>
      </w:r>
      <w:r w:rsidRPr="00ED1738">
        <w:t>2025].</w:t>
      </w:r>
    </w:p>
    <w:p w14:paraId="0AF0AFFD" w14:textId="77777777" w:rsidR="007116D4" w:rsidRPr="007116D4" w:rsidRDefault="007116D4" w:rsidP="007116D4">
      <w:r w:rsidRPr="007116D4">
        <w:t xml:space="preserve">GEL (2021) </w:t>
      </w:r>
      <w:r w:rsidRPr="007116D4">
        <w:rPr>
          <w:i/>
          <w:iCs/>
        </w:rPr>
        <w:t>5 Key Benefits of ITIL 4 Specialist: Acquiring &amp; Managing Cloud Services</w:t>
      </w:r>
      <w:r w:rsidRPr="007116D4">
        <w:t xml:space="preserve">. [video] YouTube. Available at: </w:t>
      </w:r>
      <w:hyperlink r:id="rId13" w:history="1">
        <w:r w:rsidRPr="007116D4">
          <w:rPr>
            <w:rStyle w:val="Hyperlink"/>
          </w:rPr>
          <w:t>GEL YouTube Channel</w:t>
        </w:r>
      </w:hyperlink>
      <w:r w:rsidRPr="007116D4">
        <w:t xml:space="preserve"> [Accessed 25 Aug. 2025].</w:t>
      </w:r>
    </w:p>
    <w:p w14:paraId="7F96777A" w14:textId="15541417" w:rsidR="00B203EE" w:rsidRPr="001251DD" w:rsidRDefault="00B64447" w:rsidP="00B6029D">
      <w:r w:rsidRPr="00B64447">
        <w:t>Khajeh Hosseini,</w:t>
      </w:r>
      <w:r w:rsidRPr="00B64447">
        <w:rPr>
          <w:rFonts w:ascii="Arial" w:hAnsi="Arial" w:cs="Arial"/>
        </w:rPr>
        <w:t> </w:t>
      </w:r>
      <w:r w:rsidRPr="00B64447">
        <w:t>A., Greenwood,</w:t>
      </w:r>
      <w:r w:rsidRPr="00B64447">
        <w:rPr>
          <w:rFonts w:ascii="Arial" w:hAnsi="Arial" w:cs="Arial"/>
        </w:rPr>
        <w:t> </w:t>
      </w:r>
      <w:r w:rsidRPr="00B64447">
        <w:t>D., &amp; Sommerville,</w:t>
      </w:r>
      <w:r w:rsidRPr="00B64447">
        <w:rPr>
          <w:rFonts w:ascii="Arial" w:hAnsi="Arial" w:cs="Arial"/>
        </w:rPr>
        <w:t> </w:t>
      </w:r>
      <w:r w:rsidRPr="00B64447">
        <w:t>I.,</w:t>
      </w:r>
      <w:r w:rsidRPr="00B64447">
        <w:rPr>
          <w:rFonts w:ascii="Arial" w:hAnsi="Arial" w:cs="Arial"/>
        </w:rPr>
        <w:t> </w:t>
      </w:r>
      <w:r w:rsidRPr="00B64447">
        <w:t>2010. The Cloud Adoption Toolkit: Supporting Cloud Adoption Decisions in the Enterprise. In: IEEE CLOUD 2010. Miami, FL, 5 10 July. IEEE, pp.336 343.</w:t>
      </w:r>
    </w:p>
    <w:p w14:paraId="079725AC" w14:textId="4AB14ACA" w:rsidR="00B72E44" w:rsidRDefault="001251DD" w:rsidP="004929D2">
      <w:r w:rsidRPr="001251DD">
        <w:t>Lingel, K. (2022) </w:t>
      </w:r>
      <w:r w:rsidRPr="001251DD">
        <w:rPr>
          <w:i/>
          <w:iCs/>
        </w:rPr>
        <w:t>Legacy vs Cloud ITSM: what’s the difference?</w:t>
      </w:r>
      <w:r w:rsidRPr="001251DD">
        <w:t>, IFS Blog, 19 July. Available at: </w:t>
      </w:r>
      <w:hyperlink r:id="rId14" w:history="1">
        <w:r w:rsidRPr="001251DD">
          <w:rPr>
            <w:rStyle w:val="Hyperlink"/>
            <w:b/>
            <w:bCs/>
          </w:rPr>
          <w:t>https://blog.ifs.com/2022/07/legacy-vs-cloud-itsm/</w:t>
        </w:r>
      </w:hyperlink>
      <w:r w:rsidRPr="001251DD">
        <w:t> (Accessed: 3 August 2025).</w:t>
      </w:r>
      <w:r w:rsidR="00B72E44" w:rsidRPr="00B72E44">
        <w:br/>
        <w:t xml:space="preserve">Microsoft (2024) </w:t>
      </w:r>
      <w:r w:rsidR="00B72E44" w:rsidRPr="00B72E44">
        <w:rPr>
          <w:i/>
          <w:iCs/>
        </w:rPr>
        <w:t>Data sovereignty and China regulations</w:t>
      </w:r>
      <w:r w:rsidR="00B72E44" w:rsidRPr="00B72E44">
        <w:t xml:space="preserve">. Available at: </w:t>
      </w:r>
      <w:hyperlink r:id="rId15" w:history="1">
        <w:r w:rsidR="00B72E44" w:rsidRPr="00B72E44">
          <w:rPr>
            <w:rStyle w:val="Hyperlink"/>
          </w:rPr>
          <w:t>https://learn.microsoft.com/en-us/azure/china/overview-sovereignty-and-regulations</w:t>
        </w:r>
      </w:hyperlink>
      <w:r w:rsidR="00B72E44" w:rsidRPr="00B72E44">
        <w:t xml:space="preserve"> (Accessed: 24 August 2025).</w:t>
      </w:r>
    </w:p>
    <w:p w14:paraId="7A3428AF" w14:textId="77777777" w:rsidR="001251DD" w:rsidRPr="001251DD" w:rsidRDefault="001251DD" w:rsidP="001251DD">
      <w:r w:rsidRPr="001251DD">
        <w:t>Microsoft. (2025) </w:t>
      </w:r>
      <w:r w:rsidRPr="001251DD">
        <w:rPr>
          <w:i/>
          <w:iCs/>
        </w:rPr>
        <w:t>How cloud-based ITSM transforms businesses across industries.</w:t>
      </w:r>
      <w:r w:rsidRPr="001251DD">
        <w:t> Microsoft Tech Community, 2 February. Available at: </w:t>
      </w:r>
      <w:hyperlink r:id="rId16" w:history="1">
        <w:r w:rsidRPr="001251DD">
          <w:rPr>
            <w:rStyle w:val="Hyperlink"/>
            <w:b/>
            <w:bCs/>
          </w:rPr>
          <w:t>https://techcommunity.microsoft.com/blog/modern-service-management-blog/how-cloud-based-itsm-transforms-businesses-across-industries/4373091</w:t>
        </w:r>
      </w:hyperlink>
      <w:r w:rsidRPr="001251DD">
        <w:t> (Accessed: 3 August 2025).</w:t>
      </w:r>
    </w:p>
    <w:p w14:paraId="3E09C9CB" w14:textId="77777777" w:rsidR="001251DD" w:rsidRPr="001251DD" w:rsidRDefault="001251DD" w:rsidP="001251DD">
      <w:r w:rsidRPr="001251DD">
        <w:t>McKinsey &amp; Company. (2024) </w:t>
      </w:r>
      <w:r w:rsidRPr="001251DD">
        <w:rPr>
          <w:i/>
          <w:iCs/>
        </w:rPr>
        <w:t>From legacy to cloud: lessons learned</w:t>
      </w:r>
      <w:r w:rsidRPr="001251DD">
        <w:t>, McKinsey Digital, 11 March. Available at: </w:t>
      </w:r>
      <w:hyperlink r:id="rId17" w:history="1">
        <w:r w:rsidRPr="001251DD">
          <w:rPr>
            <w:rStyle w:val="Hyperlink"/>
            <w:b/>
            <w:bCs/>
          </w:rPr>
          <w:t>https://www.mckinsey.com/capabilities/mckinsey-digital/our-insights/from-legacy-to-cloud-lessons-from-the-trenches</w:t>
        </w:r>
      </w:hyperlink>
      <w:r w:rsidRPr="001251DD">
        <w:t> (Accessed: 3 August 2025).</w:t>
      </w:r>
    </w:p>
    <w:p w14:paraId="5265DE59" w14:textId="79100441" w:rsidR="003F0C15" w:rsidRDefault="001251DD" w:rsidP="00DA1CDB">
      <w:r w:rsidRPr="001251DD">
        <w:t>Salla, J.R. (2025) </w:t>
      </w:r>
      <w:r w:rsidRPr="001251DD">
        <w:rPr>
          <w:i/>
          <w:iCs/>
        </w:rPr>
        <w:t>Impact of cloud transformation on IT operations and business agility.</w:t>
      </w:r>
      <w:r w:rsidRPr="001251DD">
        <w:t> </w:t>
      </w:r>
      <w:r w:rsidRPr="001251DD">
        <w:rPr>
          <w:i/>
          <w:iCs/>
        </w:rPr>
        <w:t>International Journal of Management, IT &amp; Engineering</w:t>
      </w:r>
      <w:r w:rsidRPr="001251DD">
        <w:t>, 15(4), pp. 1–15. Available at: </w:t>
      </w:r>
      <w:hyperlink r:id="rId18" w:history="1">
        <w:r w:rsidRPr="001251DD">
          <w:rPr>
            <w:rStyle w:val="Hyperlink"/>
            <w:b/>
            <w:bCs/>
          </w:rPr>
          <w:t>https://www.ijmra.us/project%20doc/2025/IJME_APRIL2025/IJMIE1April25.pdf</w:t>
        </w:r>
      </w:hyperlink>
      <w:r w:rsidRPr="001251DD">
        <w:t> (Accessed: 3 August 2025).</w:t>
      </w:r>
    </w:p>
    <w:p w14:paraId="2F8716AE" w14:textId="5A75163D" w:rsidR="0000092F" w:rsidRDefault="0000092F" w:rsidP="009D3B12">
      <w:r w:rsidRPr="0000092F">
        <w:lastRenderedPageBreak/>
        <w:t xml:space="preserve">Sundelin, H., Holmström, J. and Lyytinen, K. (2020) ‘Cloud-based ITSM and competitive agility: A configurational analysis’, </w:t>
      </w:r>
      <w:r w:rsidRPr="0000092F">
        <w:rPr>
          <w:i/>
          <w:iCs/>
        </w:rPr>
        <w:t>Information Systems Journal</w:t>
      </w:r>
      <w:r w:rsidRPr="0000092F">
        <w:t xml:space="preserve">, 30(5), pp. 845–872. </w:t>
      </w:r>
      <w:hyperlink r:id="rId19" w:history="1">
        <w:r w:rsidRPr="0000092F">
          <w:rPr>
            <w:rStyle w:val="Hyperlink"/>
          </w:rPr>
          <w:t>https://doi.org/10.1</w:t>
        </w:r>
      </w:hyperlink>
    </w:p>
    <w:p w14:paraId="69111324" w14:textId="77777777" w:rsidR="003F0C15" w:rsidRPr="001251DD" w:rsidRDefault="003F0C15" w:rsidP="003F0C15">
      <w:r>
        <w:t xml:space="preserve">Vanevski, N. (2025) Collaborative Learning Discussion-reply to Payman Ghorbani’s initial post. Available at: </w:t>
      </w:r>
      <w:hyperlink r:id="rId20" w:history="1">
        <w:r w:rsidRPr="00A212D6">
          <w:rPr>
            <w:rStyle w:val="Hyperlink"/>
          </w:rPr>
          <w:t>https://www.my-course.co.uk/mod/forum/discuss.php?d=311904</w:t>
        </w:r>
      </w:hyperlink>
      <w:r>
        <w:t xml:space="preserve"> (Accessed: 24 August 2025).</w:t>
      </w:r>
    </w:p>
    <w:p w14:paraId="60A65B7F" w14:textId="77777777" w:rsidR="003F0C15" w:rsidRDefault="003F0C15" w:rsidP="001251DD"/>
    <w:p w14:paraId="3BD60D00" w14:textId="77777777" w:rsidR="00811B85" w:rsidRDefault="00811B85" w:rsidP="001251DD"/>
    <w:p w14:paraId="0B1EE625" w14:textId="77777777" w:rsidR="00811B85" w:rsidRDefault="00811B85" w:rsidP="001251DD"/>
    <w:p w14:paraId="4C799502" w14:textId="77777777" w:rsidR="00811B85" w:rsidRDefault="00811B85" w:rsidP="001251DD"/>
    <w:p w14:paraId="5A1BAD55" w14:textId="77777777" w:rsidR="00811B85" w:rsidRDefault="00811B85" w:rsidP="001251DD"/>
    <w:p w14:paraId="029BA6F7" w14:textId="77777777" w:rsidR="00811B85" w:rsidRDefault="00811B85" w:rsidP="001251DD"/>
    <w:p w14:paraId="67D2E513" w14:textId="77777777" w:rsidR="001251DD" w:rsidRPr="001251DD" w:rsidRDefault="001251DD" w:rsidP="001251DD"/>
    <w:p w14:paraId="4D7A9F29" w14:textId="77777777" w:rsidR="001251DD" w:rsidRPr="001251DD" w:rsidRDefault="001251DD" w:rsidP="001251DD">
      <w:r w:rsidRPr="001251DD">
        <w:t> </w:t>
      </w:r>
    </w:p>
    <w:p w14:paraId="762390FD" w14:textId="77777777" w:rsidR="005351B4" w:rsidRDefault="005351B4"/>
    <w:sectPr w:rsidR="005351B4">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98946" w14:textId="77777777" w:rsidR="00D43AF9" w:rsidRDefault="00D43AF9" w:rsidP="00131C7A">
      <w:pPr>
        <w:spacing w:after="0" w:line="240" w:lineRule="auto"/>
      </w:pPr>
      <w:r>
        <w:separator/>
      </w:r>
    </w:p>
  </w:endnote>
  <w:endnote w:type="continuationSeparator" w:id="0">
    <w:p w14:paraId="78300919" w14:textId="77777777" w:rsidR="00D43AF9" w:rsidRDefault="00D43AF9" w:rsidP="0013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242B" w14:textId="77777777" w:rsidR="0065783C" w:rsidRDefault="0065783C" w:rsidP="0082330F">
    <w:pPr>
      <w:pStyle w:val="Footer"/>
    </w:pPr>
  </w:p>
  <w:p w14:paraId="388CF6A2" w14:textId="77777777" w:rsidR="00066240" w:rsidRPr="0082330F" w:rsidRDefault="00066240" w:rsidP="0082330F">
    <w:pPr>
      <w:pStyle w:val="Footer"/>
    </w:pPr>
  </w:p>
  <w:p w14:paraId="03E8EF6D" w14:textId="110AC979" w:rsidR="00131C7A" w:rsidRDefault="00131C7A">
    <w:pPr>
      <w:pStyle w:val="Footer"/>
    </w:pPr>
  </w:p>
  <w:p w14:paraId="0D8A8431" w14:textId="77777777" w:rsidR="00131C7A" w:rsidRDefault="00131C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5E653" w14:textId="77777777" w:rsidR="00D43AF9" w:rsidRDefault="00D43AF9" w:rsidP="00131C7A">
      <w:pPr>
        <w:spacing w:after="0" w:line="240" w:lineRule="auto"/>
      </w:pPr>
      <w:r>
        <w:separator/>
      </w:r>
    </w:p>
  </w:footnote>
  <w:footnote w:type="continuationSeparator" w:id="0">
    <w:p w14:paraId="576BB65D" w14:textId="77777777" w:rsidR="00D43AF9" w:rsidRDefault="00D43AF9" w:rsidP="00131C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300"/>
    <w:rsid w:val="0000092F"/>
    <w:rsid w:val="00005F3A"/>
    <w:rsid w:val="0001497C"/>
    <w:rsid w:val="000152E6"/>
    <w:rsid w:val="00021D0F"/>
    <w:rsid w:val="000227EF"/>
    <w:rsid w:val="00024A1F"/>
    <w:rsid w:val="00026360"/>
    <w:rsid w:val="00030A01"/>
    <w:rsid w:val="00046D01"/>
    <w:rsid w:val="00047416"/>
    <w:rsid w:val="00055915"/>
    <w:rsid w:val="00066240"/>
    <w:rsid w:val="00075470"/>
    <w:rsid w:val="00076FE5"/>
    <w:rsid w:val="00077590"/>
    <w:rsid w:val="00086E6E"/>
    <w:rsid w:val="000A3511"/>
    <w:rsid w:val="000C4DF0"/>
    <w:rsid w:val="000D221B"/>
    <w:rsid w:val="000D5B3F"/>
    <w:rsid w:val="000E75D6"/>
    <w:rsid w:val="000F2499"/>
    <w:rsid w:val="00103E20"/>
    <w:rsid w:val="00106F95"/>
    <w:rsid w:val="0012008F"/>
    <w:rsid w:val="001251DD"/>
    <w:rsid w:val="001266DC"/>
    <w:rsid w:val="00127B57"/>
    <w:rsid w:val="001312FD"/>
    <w:rsid w:val="00131C7A"/>
    <w:rsid w:val="00142625"/>
    <w:rsid w:val="00145217"/>
    <w:rsid w:val="00150A50"/>
    <w:rsid w:val="001561A6"/>
    <w:rsid w:val="00164AFB"/>
    <w:rsid w:val="0016538C"/>
    <w:rsid w:val="00166119"/>
    <w:rsid w:val="00170A5A"/>
    <w:rsid w:val="00170E11"/>
    <w:rsid w:val="00173E45"/>
    <w:rsid w:val="00176410"/>
    <w:rsid w:val="0018220D"/>
    <w:rsid w:val="001903A1"/>
    <w:rsid w:val="00192F9D"/>
    <w:rsid w:val="001931B1"/>
    <w:rsid w:val="00193C20"/>
    <w:rsid w:val="00196BD3"/>
    <w:rsid w:val="001971AA"/>
    <w:rsid w:val="001A6496"/>
    <w:rsid w:val="001B4785"/>
    <w:rsid w:val="001C1D16"/>
    <w:rsid w:val="001D1DE9"/>
    <w:rsid w:val="001D3222"/>
    <w:rsid w:val="001E0E92"/>
    <w:rsid w:val="001E4C6C"/>
    <w:rsid w:val="001E76C2"/>
    <w:rsid w:val="001F7E34"/>
    <w:rsid w:val="00203800"/>
    <w:rsid w:val="002052F9"/>
    <w:rsid w:val="00216974"/>
    <w:rsid w:val="002255E5"/>
    <w:rsid w:val="0022774C"/>
    <w:rsid w:val="0023361B"/>
    <w:rsid w:val="00250232"/>
    <w:rsid w:val="002555DA"/>
    <w:rsid w:val="002728A8"/>
    <w:rsid w:val="00275D64"/>
    <w:rsid w:val="00277FC0"/>
    <w:rsid w:val="00291612"/>
    <w:rsid w:val="00294E7C"/>
    <w:rsid w:val="00296E32"/>
    <w:rsid w:val="002C4AF5"/>
    <w:rsid w:val="002E1EE3"/>
    <w:rsid w:val="002E68E5"/>
    <w:rsid w:val="002E7827"/>
    <w:rsid w:val="002F3EF1"/>
    <w:rsid w:val="002F40EF"/>
    <w:rsid w:val="002F70A0"/>
    <w:rsid w:val="003055EA"/>
    <w:rsid w:val="003071B1"/>
    <w:rsid w:val="0031377A"/>
    <w:rsid w:val="0032244C"/>
    <w:rsid w:val="00322F15"/>
    <w:rsid w:val="0032716F"/>
    <w:rsid w:val="00341D0B"/>
    <w:rsid w:val="003452C3"/>
    <w:rsid w:val="00352A22"/>
    <w:rsid w:val="00357676"/>
    <w:rsid w:val="00365450"/>
    <w:rsid w:val="0037125A"/>
    <w:rsid w:val="00375D1C"/>
    <w:rsid w:val="00376AD5"/>
    <w:rsid w:val="00386074"/>
    <w:rsid w:val="00386918"/>
    <w:rsid w:val="00390689"/>
    <w:rsid w:val="00396AA1"/>
    <w:rsid w:val="003A052E"/>
    <w:rsid w:val="003B6A7C"/>
    <w:rsid w:val="003B6F14"/>
    <w:rsid w:val="003C08BD"/>
    <w:rsid w:val="003C3E92"/>
    <w:rsid w:val="003C725A"/>
    <w:rsid w:val="003D61FF"/>
    <w:rsid w:val="003E041F"/>
    <w:rsid w:val="003E604B"/>
    <w:rsid w:val="003F0C15"/>
    <w:rsid w:val="003F2F53"/>
    <w:rsid w:val="003F5CE5"/>
    <w:rsid w:val="0040265F"/>
    <w:rsid w:val="00420C04"/>
    <w:rsid w:val="00431968"/>
    <w:rsid w:val="004347C2"/>
    <w:rsid w:val="004430E0"/>
    <w:rsid w:val="00457A48"/>
    <w:rsid w:val="00457F02"/>
    <w:rsid w:val="00490385"/>
    <w:rsid w:val="004929D2"/>
    <w:rsid w:val="004939D0"/>
    <w:rsid w:val="004A5359"/>
    <w:rsid w:val="004A7156"/>
    <w:rsid w:val="004B0784"/>
    <w:rsid w:val="004B0D13"/>
    <w:rsid w:val="004E096A"/>
    <w:rsid w:val="005108EF"/>
    <w:rsid w:val="00511470"/>
    <w:rsid w:val="0051175F"/>
    <w:rsid w:val="00514AEE"/>
    <w:rsid w:val="0052673E"/>
    <w:rsid w:val="005351B4"/>
    <w:rsid w:val="00544C11"/>
    <w:rsid w:val="00551961"/>
    <w:rsid w:val="00551EB6"/>
    <w:rsid w:val="00552ED0"/>
    <w:rsid w:val="0055756D"/>
    <w:rsid w:val="005734DA"/>
    <w:rsid w:val="0058462D"/>
    <w:rsid w:val="00590530"/>
    <w:rsid w:val="005922BE"/>
    <w:rsid w:val="005C1225"/>
    <w:rsid w:val="005C5AAF"/>
    <w:rsid w:val="005D293F"/>
    <w:rsid w:val="005E4D21"/>
    <w:rsid w:val="005E63B6"/>
    <w:rsid w:val="005F306C"/>
    <w:rsid w:val="00610055"/>
    <w:rsid w:val="00612320"/>
    <w:rsid w:val="00620E5B"/>
    <w:rsid w:val="00630054"/>
    <w:rsid w:val="00655715"/>
    <w:rsid w:val="00656E88"/>
    <w:rsid w:val="0065783C"/>
    <w:rsid w:val="00657AD4"/>
    <w:rsid w:val="00664173"/>
    <w:rsid w:val="0067095C"/>
    <w:rsid w:val="0067390C"/>
    <w:rsid w:val="00675F22"/>
    <w:rsid w:val="00676321"/>
    <w:rsid w:val="006854BE"/>
    <w:rsid w:val="006972E3"/>
    <w:rsid w:val="00697902"/>
    <w:rsid w:val="00697AC5"/>
    <w:rsid w:val="006A457F"/>
    <w:rsid w:val="006C075A"/>
    <w:rsid w:val="006D3CB3"/>
    <w:rsid w:val="006F26A3"/>
    <w:rsid w:val="006F53E6"/>
    <w:rsid w:val="00702246"/>
    <w:rsid w:val="007116D4"/>
    <w:rsid w:val="007150AC"/>
    <w:rsid w:val="00721235"/>
    <w:rsid w:val="00725D3B"/>
    <w:rsid w:val="007276B3"/>
    <w:rsid w:val="007314DC"/>
    <w:rsid w:val="00731613"/>
    <w:rsid w:val="007365CA"/>
    <w:rsid w:val="00741B6C"/>
    <w:rsid w:val="00741E0D"/>
    <w:rsid w:val="00742FB5"/>
    <w:rsid w:val="00746DA8"/>
    <w:rsid w:val="007616DD"/>
    <w:rsid w:val="00762C73"/>
    <w:rsid w:val="00762E18"/>
    <w:rsid w:val="00766D88"/>
    <w:rsid w:val="00773631"/>
    <w:rsid w:val="00773AEA"/>
    <w:rsid w:val="00775207"/>
    <w:rsid w:val="00777519"/>
    <w:rsid w:val="00777C1E"/>
    <w:rsid w:val="00782766"/>
    <w:rsid w:val="0079282E"/>
    <w:rsid w:val="007A268F"/>
    <w:rsid w:val="007B1346"/>
    <w:rsid w:val="007B7636"/>
    <w:rsid w:val="007C568E"/>
    <w:rsid w:val="007D0044"/>
    <w:rsid w:val="007D4C36"/>
    <w:rsid w:val="007E1EBD"/>
    <w:rsid w:val="007E212A"/>
    <w:rsid w:val="007E25BB"/>
    <w:rsid w:val="007E6B25"/>
    <w:rsid w:val="007F19AF"/>
    <w:rsid w:val="00802FD6"/>
    <w:rsid w:val="00803E81"/>
    <w:rsid w:val="00810355"/>
    <w:rsid w:val="00811B85"/>
    <w:rsid w:val="00822112"/>
    <w:rsid w:val="00822520"/>
    <w:rsid w:val="0082330F"/>
    <w:rsid w:val="00826DAE"/>
    <w:rsid w:val="008344ED"/>
    <w:rsid w:val="0084035E"/>
    <w:rsid w:val="00841C97"/>
    <w:rsid w:val="008553C7"/>
    <w:rsid w:val="008567E0"/>
    <w:rsid w:val="00865972"/>
    <w:rsid w:val="00865E55"/>
    <w:rsid w:val="0087516B"/>
    <w:rsid w:val="00877875"/>
    <w:rsid w:val="00890C45"/>
    <w:rsid w:val="00895C4B"/>
    <w:rsid w:val="008B035B"/>
    <w:rsid w:val="008B1653"/>
    <w:rsid w:val="008D3097"/>
    <w:rsid w:val="008D68A6"/>
    <w:rsid w:val="008F058A"/>
    <w:rsid w:val="008F091E"/>
    <w:rsid w:val="009071A0"/>
    <w:rsid w:val="00912DD9"/>
    <w:rsid w:val="00924507"/>
    <w:rsid w:val="009306C5"/>
    <w:rsid w:val="009364E0"/>
    <w:rsid w:val="009456F9"/>
    <w:rsid w:val="0095046B"/>
    <w:rsid w:val="00950613"/>
    <w:rsid w:val="00951827"/>
    <w:rsid w:val="00955D08"/>
    <w:rsid w:val="00973B28"/>
    <w:rsid w:val="00980785"/>
    <w:rsid w:val="00981A1B"/>
    <w:rsid w:val="00983BD2"/>
    <w:rsid w:val="00991339"/>
    <w:rsid w:val="00992B82"/>
    <w:rsid w:val="0099490C"/>
    <w:rsid w:val="00995BB3"/>
    <w:rsid w:val="009A21C7"/>
    <w:rsid w:val="009A5929"/>
    <w:rsid w:val="009B27AC"/>
    <w:rsid w:val="009C6B13"/>
    <w:rsid w:val="009D3B12"/>
    <w:rsid w:val="009E1878"/>
    <w:rsid w:val="009E2A6A"/>
    <w:rsid w:val="009E2D12"/>
    <w:rsid w:val="009F03E6"/>
    <w:rsid w:val="009F0517"/>
    <w:rsid w:val="009F23D0"/>
    <w:rsid w:val="009F3A4C"/>
    <w:rsid w:val="009F6C8B"/>
    <w:rsid w:val="00A154C5"/>
    <w:rsid w:val="00A3522C"/>
    <w:rsid w:val="00A41641"/>
    <w:rsid w:val="00A420C6"/>
    <w:rsid w:val="00A61B7C"/>
    <w:rsid w:val="00A621B4"/>
    <w:rsid w:val="00A65113"/>
    <w:rsid w:val="00A65B9B"/>
    <w:rsid w:val="00A746FF"/>
    <w:rsid w:val="00A77045"/>
    <w:rsid w:val="00A77206"/>
    <w:rsid w:val="00A80B1A"/>
    <w:rsid w:val="00A862E8"/>
    <w:rsid w:val="00A90250"/>
    <w:rsid w:val="00A931A6"/>
    <w:rsid w:val="00A94709"/>
    <w:rsid w:val="00AA3CD6"/>
    <w:rsid w:val="00AA4D1D"/>
    <w:rsid w:val="00AA695E"/>
    <w:rsid w:val="00AA76DA"/>
    <w:rsid w:val="00AB2BDB"/>
    <w:rsid w:val="00AC4C79"/>
    <w:rsid w:val="00AE02BF"/>
    <w:rsid w:val="00AE22D5"/>
    <w:rsid w:val="00AF3F65"/>
    <w:rsid w:val="00B07461"/>
    <w:rsid w:val="00B079B0"/>
    <w:rsid w:val="00B203EE"/>
    <w:rsid w:val="00B240A6"/>
    <w:rsid w:val="00B24946"/>
    <w:rsid w:val="00B35339"/>
    <w:rsid w:val="00B40CBF"/>
    <w:rsid w:val="00B6029D"/>
    <w:rsid w:val="00B612C4"/>
    <w:rsid w:val="00B622BC"/>
    <w:rsid w:val="00B64447"/>
    <w:rsid w:val="00B6484F"/>
    <w:rsid w:val="00B72E44"/>
    <w:rsid w:val="00B77D29"/>
    <w:rsid w:val="00B92F6A"/>
    <w:rsid w:val="00B97A3B"/>
    <w:rsid w:val="00BB08C1"/>
    <w:rsid w:val="00BC2EE7"/>
    <w:rsid w:val="00BD4300"/>
    <w:rsid w:val="00BD6EA7"/>
    <w:rsid w:val="00BE264B"/>
    <w:rsid w:val="00BF07A5"/>
    <w:rsid w:val="00BF550E"/>
    <w:rsid w:val="00BF674A"/>
    <w:rsid w:val="00BF7273"/>
    <w:rsid w:val="00C057EF"/>
    <w:rsid w:val="00C13A81"/>
    <w:rsid w:val="00C15D43"/>
    <w:rsid w:val="00C30FAE"/>
    <w:rsid w:val="00C3558D"/>
    <w:rsid w:val="00C3598F"/>
    <w:rsid w:val="00C44BB9"/>
    <w:rsid w:val="00C520BE"/>
    <w:rsid w:val="00C64780"/>
    <w:rsid w:val="00C715BF"/>
    <w:rsid w:val="00C76716"/>
    <w:rsid w:val="00C8016C"/>
    <w:rsid w:val="00C81D2F"/>
    <w:rsid w:val="00C9115D"/>
    <w:rsid w:val="00CA6DBB"/>
    <w:rsid w:val="00CB356D"/>
    <w:rsid w:val="00CB37C9"/>
    <w:rsid w:val="00CB4736"/>
    <w:rsid w:val="00CC0529"/>
    <w:rsid w:val="00CC3CA6"/>
    <w:rsid w:val="00CC4113"/>
    <w:rsid w:val="00CC4577"/>
    <w:rsid w:val="00CC75EE"/>
    <w:rsid w:val="00CE038D"/>
    <w:rsid w:val="00CE13E8"/>
    <w:rsid w:val="00CE14B4"/>
    <w:rsid w:val="00CE2D94"/>
    <w:rsid w:val="00CF3B4A"/>
    <w:rsid w:val="00CF4995"/>
    <w:rsid w:val="00D04B53"/>
    <w:rsid w:val="00D11672"/>
    <w:rsid w:val="00D1302E"/>
    <w:rsid w:val="00D20638"/>
    <w:rsid w:val="00D21429"/>
    <w:rsid w:val="00D3034D"/>
    <w:rsid w:val="00D35A36"/>
    <w:rsid w:val="00D43AF9"/>
    <w:rsid w:val="00D54521"/>
    <w:rsid w:val="00D5651B"/>
    <w:rsid w:val="00D572FB"/>
    <w:rsid w:val="00D64559"/>
    <w:rsid w:val="00D648C6"/>
    <w:rsid w:val="00D660F1"/>
    <w:rsid w:val="00D730C6"/>
    <w:rsid w:val="00D80360"/>
    <w:rsid w:val="00DA1CDB"/>
    <w:rsid w:val="00DA36BF"/>
    <w:rsid w:val="00DB5698"/>
    <w:rsid w:val="00DC0AA5"/>
    <w:rsid w:val="00DC762C"/>
    <w:rsid w:val="00DE2C71"/>
    <w:rsid w:val="00DE7595"/>
    <w:rsid w:val="00E14F06"/>
    <w:rsid w:val="00E21642"/>
    <w:rsid w:val="00E24543"/>
    <w:rsid w:val="00E260E3"/>
    <w:rsid w:val="00E331D8"/>
    <w:rsid w:val="00E374AA"/>
    <w:rsid w:val="00E51916"/>
    <w:rsid w:val="00E52DE6"/>
    <w:rsid w:val="00E56AD9"/>
    <w:rsid w:val="00E628F1"/>
    <w:rsid w:val="00E748EC"/>
    <w:rsid w:val="00E80BBC"/>
    <w:rsid w:val="00E90DF6"/>
    <w:rsid w:val="00E970A0"/>
    <w:rsid w:val="00EB1864"/>
    <w:rsid w:val="00EC61D4"/>
    <w:rsid w:val="00ED1738"/>
    <w:rsid w:val="00ED2CEA"/>
    <w:rsid w:val="00ED74F4"/>
    <w:rsid w:val="00ED759B"/>
    <w:rsid w:val="00EE1864"/>
    <w:rsid w:val="00EF4564"/>
    <w:rsid w:val="00F0682F"/>
    <w:rsid w:val="00F12BD0"/>
    <w:rsid w:val="00F13060"/>
    <w:rsid w:val="00F34C06"/>
    <w:rsid w:val="00F41557"/>
    <w:rsid w:val="00F5301F"/>
    <w:rsid w:val="00F55DE3"/>
    <w:rsid w:val="00F75C2B"/>
    <w:rsid w:val="00F82DFC"/>
    <w:rsid w:val="00F8768E"/>
    <w:rsid w:val="00F90A75"/>
    <w:rsid w:val="00F94B15"/>
    <w:rsid w:val="00F9559B"/>
    <w:rsid w:val="00FA14C1"/>
    <w:rsid w:val="00FA4980"/>
    <w:rsid w:val="00FA4D1F"/>
    <w:rsid w:val="00FB4647"/>
    <w:rsid w:val="00FB4AF5"/>
    <w:rsid w:val="00FB5B4C"/>
    <w:rsid w:val="00FB7704"/>
    <w:rsid w:val="00FC222A"/>
    <w:rsid w:val="00FC2D2A"/>
    <w:rsid w:val="00FC70A3"/>
    <w:rsid w:val="00FD0809"/>
    <w:rsid w:val="00FD0A57"/>
    <w:rsid w:val="00FD1706"/>
    <w:rsid w:val="00FD200A"/>
    <w:rsid w:val="00FD508F"/>
    <w:rsid w:val="00FD6C7B"/>
    <w:rsid w:val="00FE2793"/>
    <w:rsid w:val="00FE3F27"/>
    <w:rsid w:val="00FE41FC"/>
    <w:rsid w:val="00FE546F"/>
    <w:rsid w:val="00FF75F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D9407"/>
  <w15:chartTrackingRefBased/>
  <w15:docId w15:val="{DC44705B-DAB0-4FFC-A24D-C90714D72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300"/>
  </w:style>
  <w:style w:type="paragraph" w:styleId="Heading1">
    <w:name w:val="heading 1"/>
    <w:basedOn w:val="Normal"/>
    <w:next w:val="Normal"/>
    <w:link w:val="Heading1Char"/>
    <w:uiPriority w:val="9"/>
    <w:qFormat/>
    <w:rsid w:val="00BD4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4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4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300"/>
    <w:rPr>
      <w:rFonts w:eastAsiaTheme="majorEastAsia" w:cstheme="majorBidi"/>
      <w:color w:val="272727" w:themeColor="text1" w:themeTint="D8"/>
    </w:rPr>
  </w:style>
  <w:style w:type="paragraph" w:styleId="Title">
    <w:name w:val="Title"/>
    <w:basedOn w:val="Normal"/>
    <w:next w:val="Normal"/>
    <w:link w:val="TitleChar"/>
    <w:uiPriority w:val="10"/>
    <w:qFormat/>
    <w:rsid w:val="00BD4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300"/>
    <w:pPr>
      <w:spacing w:before="160"/>
      <w:jc w:val="center"/>
    </w:pPr>
    <w:rPr>
      <w:i/>
      <w:iCs/>
      <w:color w:val="404040" w:themeColor="text1" w:themeTint="BF"/>
    </w:rPr>
  </w:style>
  <w:style w:type="character" w:customStyle="1" w:styleId="QuoteChar">
    <w:name w:val="Quote Char"/>
    <w:basedOn w:val="DefaultParagraphFont"/>
    <w:link w:val="Quote"/>
    <w:uiPriority w:val="29"/>
    <w:rsid w:val="00BD4300"/>
    <w:rPr>
      <w:i/>
      <w:iCs/>
      <w:color w:val="404040" w:themeColor="text1" w:themeTint="BF"/>
    </w:rPr>
  </w:style>
  <w:style w:type="paragraph" w:styleId="ListParagraph">
    <w:name w:val="List Paragraph"/>
    <w:basedOn w:val="Normal"/>
    <w:uiPriority w:val="34"/>
    <w:qFormat/>
    <w:rsid w:val="00BD4300"/>
    <w:pPr>
      <w:ind w:left="720"/>
      <w:contextualSpacing/>
    </w:pPr>
  </w:style>
  <w:style w:type="character" w:styleId="IntenseEmphasis">
    <w:name w:val="Intense Emphasis"/>
    <w:basedOn w:val="DefaultParagraphFont"/>
    <w:uiPriority w:val="21"/>
    <w:qFormat/>
    <w:rsid w:val="00BD4300"/>
    <w:rPr>
      <w:i/>
      <w:iCs/>
      <w:color w:val="0F4761" w:themeColor="accent1" w:themeShade="BF"/>
    </w:rPr>
  </w:style>
  <w:style w:type="paragraph" w:styleId="IntenseQuote">
    <w:name w:val="Intense Quote"/>
    <w:basedOn w:val="Normal"/>
    <w:next w:val="Normal"/>
    <w:link w:val="IntenseQuoteChar"/>
    <w:uiPriority w:val="30"/>
    <w:qFormat/>
    <w:rsid w:val="00BD4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300"/>
    <w:rPr>
      <w:i/>
      <w:iCs/>
      <w:color w:val="0F4761" w:themeColor="accent1" w:themeShade="BF"/>
    </w:rPr>
  </w:style>
  <w:style w:type="character" w:styleId="IntenseReference">
    <w:name w:val="Intense Reference"/>
    <w:basedOn w:val="DefaultParagraphFont"/>
    <w:uiPriority w:val="32"/>
    <w:qFormat/>
    <w:rsid w:val="00BD4300"/>
    <w:rPr>
      <w:b/>
      <w:bCs/>
      <w:smallCaps/>
      <w:color w:val="0F4761" w:themeColor="accent1" w:themeShade="BF"/>
      <w:spacing w:val="5"/>
    </w:rPr>
  </w:style>
  <w:style w:type="character" w:styleId="Hyperlink">
    <w:name w:val="Hyperlink"/>
    <w:basedOn w:val="DefaultParagraphFont"/>
    <w:uiPriority w:val="99"/>
    <w:unhideWhenUsed/>
    <w:rsid w:val="005351B4"/>
    <w:rPr>
      <w:color w:val="467886" w:themeColor="hyperlink"/>
      <w:u w:val="single"/>
    </w:rPr>
  </w:style>
  <w:style w:type="character" w:styleId="UnresolvedMention">
    <w:name w:val="Unresolved Mention"/>
    <w:basedOn w:val="DefaultParagraphFont"/>
    <w:uiPriority w:val="99"/>
    <w:semiHidden/>
    <w:unhideWhenUsed/>
    <w:rsid w:val="001251DD"/>
    <w:rPr>
      <w:color w:val="605E5C"/>
      <w:shd w:val="clear" w:color="auto" w:fill="E1DFDD"/>
    </w:rPr>
  </w:style>
  <w:style w:type="paragraph" w:styleId="NormalWeb">
    <w:name w:val="Normal (Web)"/>
    <w:basedOn w:val="Normal"/>
    <w:uiPriority w:val="99"/>
    <w:semiHidden/>
    <w:unhideWhenUsed/>
    <w:rsid w:val="00995BB3"/>
    <w:rPr>
      <w:rFonts w:ascii="Times New Roman" w:hAnsi="Times New Roman" w:cs="Times New Roman"/>
    </w:rPr>
  </w:style>
  <w:style w:type="paragraph" w:styleId="Header">
    <w:name w:val="header"/>
    <w:basedOn w:val="Normal"/>
    <w:link w:val="HeaderChar"/>
    <w:uiPriority w:val="99"/>
    <w:unhideWhenUsed/>
    <w:rsid w:val="00131C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C7A"/>
  </w:style>
  <w:style w:type="paragraph" w:styleId="Footer">
    <w:name w:val="footer"/>
    <w:basedOn w:val="Normal"/>
    <w:link w:val="FooterChar"/>
    <w:uiPriority w:val="99"/>
    <w:unhideWhenUsed/>
    <w:rsid w:val="00131C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C7A"/>
  </w:style>
  <w:style w:type="paragraph" w:styleId="FootnoteText">
    <w:name w:val="footnote text"/>
    <w:basedOn w:val="Normal"/>
    <w:link w:val="FootnoteTextChar"/>
    <w:uiPriority w:val="99"/>
    <w:semiHidden/>
    <w:unhideWhenUsed/>
    <w:rsid w:val="009F051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F0517"/>
    <w:rPr>
      <w:sz w:val="20"/>
      <w:szCs w:val="20"/>
    </w:rPr>
  </w:style>
  <w:style w:type="character" w:styleId="FootnoteReference">
    <w:name w:val="footnote reference"/>
    <w:basedOn w:val="DefaultParagraphFont"/>
    <w:uiPriority w:val="99"/>
    <w:semiHidden/>
    <w:unhideWhenUsed/>
    <w:rsid w:val="009F05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youtube.com/c/Goodelearning" TargetMode="External"/><Relationship Id="rId18" Type="http://schemas.openxmlformats.org/officeDocument/2006/relationships/hyperlink" Target="https://www.ijmra.us/project%20doc/2025/IJME_APRIL2025/IJMIE1April25.pdf"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www.gartner.com/" TargetMode="External"/><Relationship Id="rId17" Type="http://schemas.openxmlformats.org/officeDocument/2006/relationships/hyperlink" Target="https://www.mckinsey.com/capabilities/mckinsey-digital/our-insights/from-legacy-to-cloud-lessons-from-the-trenches" TargetMode="External"/><Relationship Id="rId2" Type="http://schemas.openxmlformats.org/officeDocument/2006/relationships/customXml" Target="../customXml/item2.xml"/><Relationship Id="rId16" Type="http://schemas.openxmlformats.org/officeDocument/2006/relationships/hyperlink" Target="https://techcommunity.microsoft.com/blog/modern-service-management-blog/how-cloud-based-itsm-transforms-businesses-across-industries/4373091" TargetMode="External"/><Relationship Id="rId20" Type="http://schemas.openxmlformats.org/officeDocument/2006/relationships/hyperlink" Target="https://www.my-course.co.uk/mod/forum/discuss.php?d=311904"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itbokwiki.org/Main_Page" TargetMode="External"/><Relationship Id="rId5" Type="http://schemas.openxmlformats.org/officeDocument/2006/relationships/styles" Target="styles.xml"/><Relationship Id="rId15" Type="http://schemas.openxmlformats.org/officeDocument/2006/relationships/hyperlink" Target="https://learn.microsoft.com/en-us/azure/china/overview-sovereignty-and-regulations" TargetMode="External"/><Relationship Id="rId23" Type="http://schemas.openxmlformats.org/officeDocument/2006/relationships/theme" Target="theme/theme1.xml"/><Relationship Id="rId10" Type="http://schemas.openxmlformats.org/officeDocument/2006/relationships/hyperlink" Target="https://www.jetmjournal.org/articles/2023-balancing-flexibility-it-management" TargetMode="External"/><Relationship Id="rId19" Type="http://schemas.openxmlformats.org/officeDocument/2006/relationships/hyperlink" Target="https://doi.org/10.1111/isj.12271"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blog.ifs.com/2022/07/legacy-vs-cloud-its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CFCC3-55EA-42E7-B744-26B54B6AAC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062BB2-F8BE-423E-9A3C-CD25A93DD249}">
  <ds:schemaRefs>
    <ds:schemaRef ds:uri="http://schemas.microsoft.com/sharepoint/v3/contenttype/forms"/>
  </ds:schemaRefs>
</ds:datastoreItem>
</file>

<file path=customXml/itemProps3.xml><?xml version="1.0" encoding="utf-8"?>
<ds:datastoreItem xmlns:ds="http://schemas.openxmlformats.org/officeDocument/2006/customXml" ds:itemID="{A936051D-2516-4A25-80EE-85F2A5EFA1C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8DFE223-F0F7-48D1-BD42-1DABFACA6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1699</TotalTime>
  <Pages>3</Pages>
  <Words>900</Words>
  <Characters>5134</Characters>
  <Application>Microsoft Office Word</Application>
  <DocSecurity>0</DocSecurity>
  <Lines>42</Lines>
  <Paragraphs>12</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400</cp:revision>
  <dcterms:created xsi:type="dcterms:W3CDTF">2025-08-22T15:14:00Z</dcterms:created>
  <dcterms:modified xsi:type="dcterms:W3CDTF">2025-08-25T16:13:00Z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