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Automated Verification of Scholarly Citations and Reference Integrity in Academic Publishing</w:t>
      </w:r>
    </w:p>
    <w:p>
      <w:pPr>
        <w:pStyle w:val="Heading1"/>
        <w:spacing w:before="240" w:after="80"/>
      </w:pPr>
      <w:r>
        <w:t>Abstract</w:t>
      </w:r>
    </w:p>
    <w:p>
      <w:pPr>
        <w:spacing w:line="360" w:lineRule="auto" w:after="120"/>
      </w:pPr>
      <w:r>
        <w:rPr>
          <w:rFonts w:ascii="Times New Roman" w:hAnsi="Times New Roman"/>
          <w:sz w:val="22"/>
        </w:rPr>
        <w:t>Academic referencing integrity is foundational to scholarly communication and empirical reproducibility. However, manual proofreading frequently fails to detect subtle discrepancies between in-text citations and bibliographic lists. In this study, we evaluate automated algorithmic methods for identifying citation anomalies across peer-reviewed manuscripts.</w:t>
      </w:r>
    </w:p>
    <w:p>
      <w:pPr>
        <w:pStyle w:val="Heading1"/>
        <w:spacing w:before="240" w:after="80"/>
      </w:pPr>
      <w:r>
        <w:t>1. Introduction</w:t>
      </w:r>
    </w:p>
    <w:p>
      <w:pPr>
        <w:spacing w:line="360" w:lineRule="auto" w:after="120"/>
      </w:pPr>
      <w:r>
        <w:rPr>
          <w:rFonts w:ascii="Times New Roman" w:hAnsi="Times New Roman"/>
          <w:sz w:val="22"/>
        </w:rPr>
        <w:t>Scholarly literature discovery has evolved dramatically with the integration of neural representations and modern bibliometrics (Vaswani et al., 2021). Despite automated search advancements, contemporary publishing environments continue to suffer from pervasive referencing errors (Sharma, 2022).</w:t>
      </w:r>
    </w:p>
    <w:p>
      <w:pPr>
        <w:spacing w:line="360" w:lineRule="auto" w:after="120"/>
      </w:pPr>
      <w:r>
        <w:rPr>
          <w:rFonts w:ascii="Times New Roman" w:hAnsi="Times New Roman"/>
          <w:sz w:val="22"/>
        </w:rPr>
        <w:t>Furthermore, recent investigations by Smyth et al. (2021) observed that bibliographic inaccuracies can degrade automated citation graphs and citation rankings.</w:t>
      </w:r>
    </w:p>
    <w:p>
      <w:pPr>
        <w:spacing w:line="360" w:lineRule="auto" w:after="120"/>
      </w:pPr>
      <w:r>
        <w:rPr>
          <w:rFonts w:ascii="Times New Roman" w:hAnsi="Times New Roman"/>
          <w:sz w:val="22"/>
        </w:rPr>
        <w:t>Prior empirical studies have demonstrated that over 40% of published manuscripts contain referencing defects.</w:t>
      </w:r>
    </w:p>
    <w:p>
      <w:pPr>
        <w:spacing w:line="360" w:lineRule="auto" w:after="120"/>
      </w:pPr>
      <w:r>
        <w:rPr>
          <w:rFonts w:ascii="Times New Roman" w:hAnsi="Times New Roman"/>
          <w:sz w:val="22"/>
        </w:rPr>
        <w:t>In related contexts, Martinez (2020) highlighted that author name disambiguation remains an acute bottleneck.</w:t>
      </w:r>
    </w:p>
    <w:p>
      <w:pPr>
        <w:spacing w:line="360" w:lineRule="auto" w:after="120"/>
      </w:pPr>
      <w:r>
        <w:rPr>
          <w:rFonts w:ascii="Times New Roman" w:hAnsi="Times New Roman"/>
          <w:sz w:val="22"/>
        </w:rPr>
        <w:t>Additionally, Brown et al. (2023) examined collaborative multi-author citations across high-impact journals.</w:t>
      </w:r>
    </w:p>
    <w:p>
      <w:pPr>
        <w:pStyle w:val="Heading1"/>
        <w:spacing w:before="240" w:after="80"/>
      </w:pPr>
      <w:r>
        <w:t>2. Literature Review</w:t>
      </w:r>
    </w:p>
    <w:p>
      <w:pPr>
        <w:spacing w:line="360" w:lineRule="auto" w:after="120"/>
      </w:pPr>
      <w:r>
        <w:rPr>
          <w:rFonts w:ascii="Times New Roman" w:hAnsi="Times New Roman"/>
          <w:sz w:val="22"/>
        </w:rPr>
        <w:t>The theoretical foundations of citation analysis trace back to foundational information science paradigms. When comparing algorithmic parsers against manual human evaluation, early studies identified high variability in boundary detection. More recent work has attempted to resolve author-date ambiguity using fuzzy string matching and digital object identifier verification.</w:t>
      </w:r>
    </w:p>
    <w:p>
      <w:pPr>
        <w:pStyle w:val="Heading1"/>
        <w:spacing w:before="240" w:after="80"/>
      </w:pPr>
      <w:r>
        <w:t>3. Research Methodology</w:t>
      </w:r>
    </w:p>
    <w:p>
      <w:pPr>
        <w:spacing w:line="360" w:lineRule="auto" w:after="120"/>
      </w:pPr>
      <w:r>
        <w:rPr>
          <w:rFonts w:ascii="Times New Roman" w:hAnsi="Times New Roman"/>
          <w:sz w:val="22"/>
        </w:rPr>
        <w:t>We developed a deterministic multi-stage verification framework. First, manuscripts are segmented into structural academic sections using hierarchical heading heuristics. Second, regular expression engines extract both parenthetical and narrative in-text citations. Third, reference entries are parsed into structured entities containing authors, publication years, titles, and DOIs.</w:t>
      </w:r>
    </w:p>
    <w:p>
      <w:pPr>
        <w:pStyle w:val="Heading1"/>
        <w:spacing w:before="240" w:after="80"/>
      </w:pPr>
      <w:r>
        <w:t>4. Results &amp; Discussion</w:t>
      </w:r>
    </w:p>
    <w:p>
      <w:pPr>
        <w:spacing w:line="360" w:lineRule="auto" w:after="120"/>
      </w:pPr>
      <w:r>
        <w:rPr>
          <w:rFonts w:ascii="Times New Roman" w:hAnsi="Times New Roman"/>
          <w:sz w:val="22"/>
        </w:rPr>
        <w:t>Our experimental findings indicate that deterministic matching resolves 92% of standard author-date citations with high confidence. The remaining ambiguities primarily originate from transliteration variations, missing publication dates, or broken DOIs.</w:t>
      </w:r>
    </w:p>
    <w:p>
      <w:pPr>
        <w:pStyle w:val="Heading1"/>
        <w:spacing w:before="240" w:after="80"/>
      </w:pPr>
      <w:r>
        <w:t>5. Conclusion</w:t>
      </w:r>
    </w:p>
    <w:p>
      <w:pPr>
        <w:spacing w:line="360" w:lineRule="auto" w:after="120"/>
      </w:pPr>
      <w:r>
        <w:rPr>
          <w:rFonts w:ascii="Times New Roman" w:hAnsi="Times New Roman"/>
          <w:sz w:val="22"/>
        </w:rPr>
        <w:t>Automated citation auditing provides an essential safeguard for academic publishers, peer reviewers, and researchers, drastically reducing referencing defects prior to final camera-ready publication.</w:t>
      </w:r>
    </w:p>
    <w:p>
      <w:pPr>
        <w:pStyle w:val="Heading1"/>
        <w:spacing w:before="240" w:after="80"/>
      </w:pPr>
      <w:r>
        <w:t>References</w:t>
      </w:r>
    </w:p>
    <w:p>
      <w:pPr>
        <w:spacing w:line="360" w:lineRule="auto" w:after="120"/>
      </w:pPr>
      <w:r>
        <w:rPr>
          <w:rFonts w:ascii="Times New Roman" w:hAnsi="Times New Roman"/>
          <w:sz w:val="22"/>
        </w:rPr>
        <w:t>[1] Vaswani, A., &amp; Shazeer, N. (2021). Attention mechanisms in deep neural networks. Advances in Neural Information Processing Systems. https://doi.org/10.5555/3295222.3295349</w:t>
      </w:r>
    </w:p>
    <w:p>
      <w:pPr>
        <w:spacing w:line="360" w:lineRule="auto" w:after="120"/>
      </w:pPr>
      <w:r>
        <w:rPr>
          <w:rFonts w:ascii="Times New Roman" w:hAnsi="Times New Roman"/>
          <w:sz w:val="22"/>
        </w:rPr>
        <w:t>[2] Smith, J. (2021). Natural language architectures in bibliometrics. Artificial Intelligence Review. https://doi.org/10.1007/s10462-021-09999-x</w:t>
      </w:r>
    </w:p>
    <w:p>
      <w:pPr>
        <w:spacing w:line="360" w:lineRule="auto" w:after="120"/>
      </w:pPr>
      <w:r>
        <w:rPr>
          <w:rFonts w:ascii="Times New Roman" w:hAnsi="Times New Roman"/>
          <w:sz w:val="22"/>
        </w:rPr>
        <w:t>[3] Martinez, R. (2022). Longitudinal analysis of citation inaccuracies in scholarly publishing. Journal of Informetrics. https://doi.org/10.1016/j.joi.2022.101284</w:t>
      </w:r>
    </w:p>
    <w:p>
      <w:pPr>
        <w:spacing w:line="360" w:lineRule="auto" w:after="120"/>
      </w:pPr>
      <w:r>
        <w:rPr>
          <w:rFonts w:ascii="Times New Roman" w:hAnsi="Times New Roman"/>
          <w:sz w:val="22"/>
        </w:rPr>
        <w:t>[4] Brown, K., &amp; Taylor, S. (2023). Collaborative multi-author citation patterns in computational sciences. Quantitative Science Studies. https://doi.org/10.1162/qss_a_00112</w:t>
      </w:r>
    </w:p>
    <w:p>
      <w:pPr>
        <w:spacing w:line="360" w:lineRule="auto" w:after="120"/>
      </w:pPr>
      <w:r>
        <w:rPr>
          <w:rFonts w:ascii="Times New Roman" w:hAnsi="Times New Roman"/>
          <w:sz w:val="22"/>
        </w:rPr>
        <w:t>[5] Uncited, R. (2023). Neglected scholarly work in contemporary bibliometric indexes. Scientometrics. https://doi.org/10.1007/s11192-023-04567-x</w:t>
      </w:r>
    </w:p>
    <w:p>
      <w:pPr>
        <w:spacing w:line="360" w:lineRule="auto" w:after="120"/>
      </w:pPr>
      <w:r>
        <w:rPr>
          <w:rFonts w:ascii="Times New Roman" w:hAnsi="Times New Roman"/>
          <w:sz w:val="22"/>
        </w:rPr>
        <w:t>[6] Broken, D. (2022). Malformed identifiers in open access repositories. Library Trends. doi: malformed-doi-xyz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