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06C6" w14:textId="64A2BC9B" w:rsidR="00253C6F" w:rsidRDefault="00EA48BE" w:rsidP="004D6C5A">
      <w:pPr>
        <w:pStyle w:val="Titre"/>
        <w:jc w:val="center"/>
      </w:pPr>
      <w:r>
        <w:t>60secPaiement — Architecture</w:t>
      </w:r>
    </w:p>
    <w:p w14:paraId="43FE66B2" w14:textId="11B68153" w:rsidR="00EA48BE" w:rsidRDefault="00EA48BE" w:rsidP="004D6C5A">
      <w:pPr>
        <w:pStyle w:val="Formuledepolitesse"/>
        <w:ind w:left="0"/>
        <w:jc w:val="center"/>
        <w:rPr>
          <w:sz w:val="28"/>
          <w:szCs w:val="28"/>
        </w:rPr>
      </w:pPr>
      <w:r w:rsidRPr="004D6C5A">
        <w:rPr>
          <w:sz w:val="28"/>
          <w:szCs w:val="28"/>
        </w:rPr>
        <w:t>Infrastructure de paiement — Canada</w:t>
      </w:r>
    </w:p>
    <w:p w14:paraId="20FC38AE" w14:textId="77777777" w:rsidR="004D6C5A" w:rsidRPr="004D6C5A" w:rsidRDefault="004D6C5A" w:rsidP="004D6C5A">
      <w:pPr>
        <w:pStyle w:val="Formuledepolitesse"/>
        <w:ind w:left="0"/>
        <w:jc w:val="center"/>
        <w:rPr>
          <w:sz w:val="28"/>
          <w:szCs w:val="28"/>
        </w:rPr>
      </w:pPr>
    </w:p>
    <w:p w14:paraId="14A77F27" w14:textId="53EC148D" w:rsidR="00EA48BE" w:rsidRDefault="00EA48BE" w:rsidP="00EA48BE">
      <w:r>
        <w:t>Une plateforme « paiement-as-a-service » — EFT et Interac, grand livre en partie double, revente en marque blanche, conformité et audit — offerte à des entreprises et à des partenaires-distributeurs via API et portails. Logiciel bâti, testé et audité ; il ne reste que les contrats tiers.</w:t>
      </w:r>
    </w:p>
    <w:p w14:paraId="1D98112D" w14:textId="6DD7A890" w:rsidR="00EA48BE" w:rsidRDefault="00EA48BE" w:rsidP="00EA48BE">
      <w:pPr>
        <w:pStyle w:val="Titre1"/>
      </w:pPr>
      <w:r>
        <w:t>1. Un modèle à quatre niveaux</w:t>
      </w:r>
    </w:p>
    <w:p w14:paraId="6290CD54" w14:textId="77D13BED" w:rsidR="00EA48BE" w:rsidRDefault="00EA48BE" w:rsidP="00EA48BE">
      <w:r>
        <w:t xml:space="preserve">La plateforme tient le compte fiducie (mutualisé, miroir de la banque) et le grand livre. Un partenaire — comme l'ERP 60SecAI ou </w:t>
      </w:r>
      <w:proofErr w:type="spellStart"/>
      <w:r>
        <w:t>Dentitek</w:t>
      </w:r>
      <w:proofErr w:type="spellEnd"/>
      <w:r>
        <w:t xml:space="preserve"> (cliniques dentaires) — provisionne ses propres abonnés ; un abonné peut aussi être créé directement par le staff. Chaque abonné possède un solde et ses propres clients (payeurs) et fournisseurs (bénéficiaires), strictement isolés des autres locataires.</w:t>
      </w:r>
    </w:p>
    <w:p w14:paraId="3F158EEE" w14:textId="142F60D8" w:rsidR="00EA48BE" w:rsidRDefault="00EA48BE" w:rsidP="00EA48BE">
      <w:pPr>
        <w:jc w:val="center"/>
      </w:pPr>
      <w:r>
        <w:rPr>
          <w:noProof/>
        </w:rPr>
        <w:drawing>
          <wp:inline distT="0" distB="0" distL="0" distR="0" wp14:anchorId="78A2FF81" wp14:editId="6F57FC34">
            <wp:extent cx="4572000" cy="3232990"/>
            <wp:effectExtent l="0" t="0" r="0" b="5715"/>
            <wp:docPr id="456583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835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5754" w14:textId="37B9268E" w:rsidR="00EA48BE" w:rsidRDefault="00EA48BE" w:rsidP="00EA48BE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Hiérarchie &amp; propriété des fonds</w:t>
      </w:r>
    </w:p>
    <w:p w14:paraId="513DCCA2" w14:textId="4AE045FB" w:rsidR="00EA48BE" w:rsidRDefault="00EA48BE" w:rsidP="00EA48BE">
      <w:r>
        <w:t>Chaque boîte du schéma :</w:t>
      </w:r>
    </w:p>
    <w:p w14:paraId="53DD2B4A" w14:textId="1E9E654A" w:rsidR="00EA48BE" w:rsidRDefault="00EA48BE" w:rsidP="00EA48BE">
      <w:pPr>
        <w:pStyle w:val="Listepuces"/>
      </w:pPr>
      <w:r>
        <w:t>Plateforme 60secPaiement — le socle réglementé (PSP) ; garde les fonds en fiducie et tient le grand livre immuable ; ne possède jamais l'argent des abonnés.</w:t>
      </w:r>
    </w:p>
    <w:p w14:paraId="5555144B" w14:textId="3BF866A0" w:rsidR="00EA48BE" w:rsidRDefault="00EA48BE" w:rsidP="00EA48BE">
      <w:pPr>
        <w:pStyle w:val="Listepuces"/>
      </w:pPr>
      <w:r>
        <w:t xml:space="preserve">Partenaire — un canal de revente (60SecAI, </w:t>
      </w:r>
      <w:proofErr w:type="spellStart"/>
      <w:r>
        <w:t>Dentitek</w:t>
      </w:r>
      <w:proofErr w:type="spellEnd"/>
      <w:r>
        <w:t>) qui provisionne et gère ses abonnés sans détenir les fonds ; niveau optionnel.</w:t>
      </w:r>
    </w:p>
    <w:p w14:paraId="00D90250" w14:textId="203A7242" w:rsidR="00EA48BE" w:rsidRDefault="00EA48BE" w:rsidP="00EA48BE">
      <w:pPr>
        <w:pStyle w:val="Listepuces"/>
      </w:pPr>
      <w:r>
        <w:t>Abonné — le locataire qui détient un solde, isolé, avec son sous-grand-livre, sa réserve et son KYB ; « direct » (créé par le staff) ou « via partenaire ».</w:t>
      </w:r>
    </w:p>
    <w:p w14:paraId="51A4BB77" w14:textId="37B8A15E" w:rsidR="00EA48BE" w:rsidRDefault="00EA48BE" w:rsidP="00EA48BE">
      <w:pPr>
        <w:pStyle w:val="Listepuces"/>
      </w:pPr>
      <w:r>
        <w:t>Clients (payeurs) — contreparties bancaires externes qui paient l'abonné ; pas de solde chez 60secPaiement.</w:t>
      </w:r>
    </w:p>
    <w:p w14:paraId="20042633" w14:textId="5A3A2ADF" w:rsidR="00EA48BE" w:rsidRDefault="00EA48BE" w:rsidP="00EA48BE">
      <w:pPr>
        <w:pStyle w:val="Listepuces"/>
      </w:pPr>
      <w:r>
        <w:t>Fournisseurs (bénéficiaires) — contreparties externes que l'abonné paie par EFT / Interac.</w:t>
      </w:r>
    </w:p>
    <w:p w14:paraId="7B2B038C" w14:textId="3C341ECD" w:rsidR="00EA48BE" w:rsidRDefault="00EA48BE" w:rsidP="00EA48BE">
      <w:pPr>
        <w:pStyle w:val="Titre1"/>
      </w:pPr>
      <w:r>
        <w:lastRenderedPageBreak/>
        <w:t>2. Quatre surfaces, un seul grand livre</w:t>
      </w:r>
    </w:p>
    <w:p w14:paraId="10C1BCB9" w14:textId="7371C245" w:rsidR="00EA48BE" w:rsidRDefault="00EA48BE" w:rsidP="00EA48BE">
      <w:r>
        <w:t xml:space="preserve">Staff, partenaires, abonnés et machines accèdent au même socle comptable : </w:t>
      </w:r>
      <w:proofErr w:type="spellStart"/>
      <w:r>
        <w:t>PortailMaster</w:t>
      </w:r>
      <w:proofErr w:type="spellEnd"/>
      <w:r>
        <w:t xml:space="preserve"> (staff), </w:t>
      </w:r>
      <w:proofErr w:type="spellStart"/>
      <w:r>
        <w:t>PortailPartenaire</w:t>
      </w:r>
      <w:proofErr w:type="spellEnd"/>
      <w:r>
        <w:t xml:space="preserve"> (partenaires), </w:t>
      </w:r>
      <w:proofErr w:type="spellStart"/>
      <w:r>
        <w:t>PortailABN</w:t>
      </w:r>
      <w:proofErr w:type="spellEnd"/>
      <w:r>
        <w:t xml:space="preserve"> (abonnés) et </w:t>
      </w:r>
      <w:proofErr w:type="spellStart"/>
      <w:r>
        <w:t>webAPI</w:t>
      </w:r>
      <w:proofErr w:type="spellEnd"/>
      <w:r>
        <w:t xml:space="preserve"> (API REST versionnée et documentée).</w:t>
      </w:r>
    </w:p>
    <w:p w14:paraId="483DB36E" w14:textId="23D5E174" w:rsidR="00EA48BE" w:rsidRDefault="00EA48BE" w:rsidP="00EA48BE">
      <w:pPr>
        <w:jc w:val="center"/>
      </w:pPr>
      <w:r>
        <w:rPr>
          <w:noProof/>
        </w:rPr>
        <w:drawing>
          <wp:inline distT="0" distB="0" distL="0" distR="0" wp14:anchorId="5F36F156" wp14:editId="37885F2C">
            <wp:extent cx="4572000" cy="1765510"/>
            <wp:effectExtent l="0" t="0" r="0" b="6350"/>
            <wp:docPr id="5466405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405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988" w14:textId="4654B779" w:rsidR="00EA48BE" w:rsidRDefault="00EA48BE" w:rsidP="00EA48BE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Les quatre surfaces sur la même base</w:t>
      </w:r>
    </w:p>
    <w:p w14:paraId="5BDCFB50" w14:textId="47A21D94" w:rsidR="00EA48BE" w:rsidRDefault="00EA48BE" w:rsidP="00EA48BE">
      <w:pPr>
        <w:pStyle w:val="Titre1"/>
      </w:pPr>
      <w:r>
        <w:t>3. Le cœur : un grand livre en partie double</w:t>
      </w:r>
    </w:p>
    <w:p w14:paraId="3BAA6FB2" w14:textId="52E4E9E4" w:rsidR="00EA48BE" w:rsidRDefault="00EA48BE" w:rsidP="00EA48BE">
      <w:r>
        <w:t>Chaque mouvement d'argent est une écriture équilibrée, immuable, en cents entiers. Une erreur se contre-passe, elle ne se corrige pas. Un invariant relie en permanence les fonds en fiducie aux soldes : TRUST = Σ Soldes abonnés + Σ Réserves + Frais + Clearing en transit.</w:t>
      </w:r>
    </w:p>
    <w:p w14:paraId="62117C9C" w14:textId="48E60AD1" w:rsidR="00EA48BE" w:rsidRDefault="00EA48BE" w:rsidP="00EA48BE">
      <w:pPr>
        <w:jc w:val="center"/>
      </w:pPr>
      <w:r>
        <w:rPr>
          <w:noProof/>
        </w:rPr>
        <w:drawing>
          <wp:inline distT="0" distB="0" distL="0" distR="0" wp14:anchorId="3C39C4B3" wp14:editId="78DDC3C6">
            <wp:extent cx="4572000" cy="3153905"/>
            <wp:effectExtent l="0" t="0" r="0" b="8890"/>
            <wp:docPr id="106234499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449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CEC9" w14:textId="553DEF3A" w:rsidR="00EA48BE" w:rsidRDefault="00EA48BE" w:rsidP="00EA48BE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Encaissement — de l'initiation au règlement</w:t>
      </w:r>
    </w:p>
    <w:p w14:paraId="1E0DF43F" w14:textId="185FE763" w:rsidR="00EA48BE" w:rsidRDefault="00EA48BE" w:rsidP="00EA48BE">
      <w:pPr>
        <w:pStyle w:val="Titre1"/>
      </w:pPr>
      <w:r>
        <w:lastRenderedPageBreak/>
        <w:t>4. Deux rails de paiement</w:t>
      </w:r>
    </w:p>
    <w:p w14:paraId="5437C5A1" w14:textId="7AA5815C" w:rsidR="00EA48BE" w:rsidRDefault="00EA48BE" w:rsidP="00EA48BE">
      <w:r>
        <w:t>Un même grand livre, deux vitesses : EFT (CPA-005, en lot, règlement T+2) et Interac e-Transfer (quasi-instantané, règlement individuel sur dépôt). Un retour peut survenir avant ou après le règlement — dans les deux cas, contre-passation.</w:t>
      </w:r>
    </w:p>
    <w:p w14:paraId="26C2F272" w14:textId="4DC06017" w:rsidR="00EA48BE" w:rsidRDefault="00EA48BE" w:rsidP="00EA48BE">
      <w:pPr>
        <w:jc w:val="center"/>
      </w:pPr>
      <w:r>
        <w:rPr>
          <w:noProof/>
        </w:rPr>
        <w:drawing>
          <wp:inline distT="0" distB="0" distL="0" distR="0" wp14:anchorId="68332F6A" wp14:editId="67313FC5">
            <wp:extent cx="4572000" cy="5718306"/>
            <wp:effectExtent l="0" t="0" r="0" b="0"/>
            <wp:docPr id="159499238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923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592E" w14:textId="24E9F189" w:rsidR="00EA48BE" w:rsidRDefault="00EA48BE" w:rsidP="00EA48BE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Cycle de vie d'un paiement (tous rails)</w:t>
      </w:r>
    </w:p>
    <w:p w14:paraId="1EBEA391" w14:textId="77777777" w:rsidR="004D6C5A" w:rsidRDefault="004D6C5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8603538" w14:textId="07172A4E" w:rsidR="00EA48BE" w:rsidRDefault="00EA48BE" w:rsidP="00EA48BE">
      <w:pPr>
        <w:pStyle w:val="Titre1"/>
      </w:pPr>
      <w:r>
        <w:lastRenderedPageBreak/>
        <w:t>5. Modèle B : la revente en marque blanche</w:t>
      </w:r>
    </w:p>
    <w:p w14:paraId="21E6F305" w14:textId="5ADF9FE2" w:rsidR="00EA48BE" w:rsidRDefault="00EA48BE" w:rsidP="00EA48BE">
      <w:r>
        <w:t xml:space="preserve">Un partenaire (ex. 60SecAI, </w:t>
      </w:r>
      <w:proofErr w:type="spellStart"/>
      <w:r>
        <w:t>Dentitek</w:t>
      </w:r>
      <w:proofErr w:type="spellEnd"/>
      <w:r>
        <w:t>) n'est pas un abonné : c'est un canal de distribution. Il provisionne des abonnés — chacun un locataire à part entière, avec son sous-grand-livre, son KYB et ses fonds isolés. Clé partenaire pk_ ; POST /abonnes pour provisionner ; POST /abonnes/{id}/</w:t>
      </w:r>
      <w:proofErr w:type="spellStart"/>
      <w:r>
        <w:t>kyb</w:t>
      </w:r>
      <w:proofErr w:type="spellEnd"/>
      <w:r>
        <w:t xml:space="preserve"> pour la conformité ; en-tête X-Abonne-Id pour agir au nom d'un abonné. Deux voies : le portail </w:t>
      </w:r>
      <w:proofErr w:type="spellStart"/>
      <w:r>
        <w:t>PortailPartenaire</w:t>
      </w:r>
      <w:proofErr w:type="spellEnd"/>
      <w:r>
        <w:t xml:space="preserve"> (sans code) ou l'API.</w:t>
      </w:r>
    </w:p>
    <w:p w14:paraId="7E07F8AF" w14:textId="28A497C4" w:rsidR="00EA48BE" w:rsidRDefault="00EA48BE" w:rsidP="00EA48BE">
      <w:pPr>
        <w:jc w:val="center"/>
      </w:pPr>
      <w:r>
        <w:rPr>
          <w:noProof/>
        </w:rPr>
        <w:drawing>
          <wp:inline distT="0" distB="0" distL="0" distR="0" wp14:anchorId="4D5F0AAD" wp14:editId="5E5AEF8D">
            <wp:extent cx="4572000" cy="2868706"/>
            <wp:effectExtent l="0" t="0" r="0" b="8255"/>
            <wp:docPr id="23782754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275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1A04" w14:textId="2BC4C7EC" w:rsidR="00EA48BE" w:rsidRDefault="00EA48BE" w:rsidP="00EA48BE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 xml:space="preserve">Provisioning &amp; </w:t>
      </w:r>
      <w:proofErr w:type="spellStart"/>
      <w:r>
        <w:rPr>
          <w:i/>
          <w:color w:val="666666"/>
          <w:sz w:val="18"/>
        </w:rPr>
        <w:t>auth</w:t>
      </w:r>
      <w:proofErr w:type="spellEnd"/>
      <w:r>
        <w:rPr>
          <w:i/>
          <w:color w:val="666666"/>
          <w:sz w:val="18"/>
        </w:rPr>
        <w:t xml:space="preserve"> déléguée (Modèle B)</w:t>
      </w:r>
    </w:p>
    <w:p w14:paraId="3ED7CE9F" w14:textId="781E7E94" w:rsidR="00EA48BE" w:rsidRDefault="00EA48BE" w:rsidP="00EA48BE">
      <w:pPr>
        <w:pStyle w:val="Titre1"/>
      </w:pPr>
      <w:r>
        <w:t>6. Connecteurs : abstraits, simulés, prêts à brancher</w:t>
      </w:r>
    </w:p>
    <w:p w14:paraId="026ADC31" w14:textId="5A9EC198" w:rsidR="00EA48BE" w:rsidRDefault="00EA48BE" w:rsidP="00EA48BE">
      <w:r>
        <w:t xml:space="preserve">Chaque intégration tierce a une interface et un mode </w:t>
      </w:r>
      <w:proofErr w:type="spellStart"/>
      <w:r>
        <w:t>sandbox</w:t>
      </w:r>
      <w:proofErr w:type="spellEnd"/>
      <w:r>
        <w:t xml:space="preserve"> — le vrai fournisseur s'y substitue sans réécriture. Transport de fichiers banque (</w:t>
      </w:r>
      <w:proofErr w:type="spellStart"/>
      <w:r>
        <w:t>sandbox</w:t>
      </w:r>
      <w:proofErr w:type="spellEnd"/>
      <w:r>
        <w:t>, actif). EFT règlement/accusés/retours (</w:t>
      </w:r>
      <w:proofErr w:type="spellStart"/>
      <w:r>
        <w:t>gaté</w:t>
      </w:r>
      <w:proofErr w:type="spellEnd"/>
      <w:r>
        <w:t xml:space="preserve"> : parrain bancaire). Interac e-Transfer (</w:t>
      </w:r>
      <w:proofErr w:type="spellStart"/>
      <w:r>
        <w:t>gaté</w:t>
      </w:r>
      <w:proofErr w:type="spellEnd"/>
      <w:r>
        <w:t xml:space="preserve"> : partenaire Interac). Vérification KYB (</w:t>
      </w:r>
      <w:proofErr w:type="spellStart"/>
      <w:r>
        <w:t>gaté</w:t>
      </w:r>
      <w:proofErr w:type="spellEnd"/>
      <w:r>
        <w:t xml:space="preserve"> : </w:t>
      </w:r>
      <w:proofErr w:type="spellStart"/>
      <w:r>
        <w:t>Trulioo</w:t>
      </w:r>
      <w:proofErr w:type="spellEnd"/>
      <w:r>
        <w:t xml:space="preserve"> / </w:t>
      </w:r>
      <w:proofErr w:type="spellStart"/>
      <w:r>
        <w:t>Onfido</w:t>
      </w:r>
      <w:proofErr w:type="spellEnd"/>
      <w:r>
        <w:t>).</w:t>
      </w:r>
    </w:p>
    <w:p w14:paraId="1C62079B" w14:textId="77CA7C87" w:rsidR="00EA48BE" w:rsidRDefault="00EA48BE" w:rsidP="00EA48BE">
      <w:pPr>
        <w:pStyle w:val="Titre1"/>
      </w:pPr>
      <w:r>
        <w:t>7. Confiance, isolation et conformité</w:t>
      </w:r>
    </w:p>
    <w:p w14:paraId="73B17638" w14:textId="0443DA66" w:rsidR="00EA48BE" w:rsidRDefault="00EA48BE" w:rsidP="00EA48BE">
      <w:r>
        <w:t>Isolation multi-locataire (chaque requête scopée au tenant — et au partenaire). Journal d'audit immuable (connexions, clés, KYB, provisioning, exports, clôtures ; append-</w:t>
      </w:r>
      <w:proofErr w:type="spellStart"/>
      <w:r>
        <w:t>only</w:t>
      </w:r>
      <w:proofErr w:type="spellEnd"/>
      <w:r>
        <w:t xml:space="preserve">, exportable en CSV). Mots de passe </w:t>
      </w:r>
      <w:proofErr w:type="spellStart"/>
      <w:r>
        <w:t>BCrypt</w:t>
      </w:r>
      <w:proofErr w:type="spellEnd"/>
      <w:r>
        <w:t xml:space="preserve"> + verrouillage + connexion persistante à rotation. Portabilité RGPD : export sans secrets, anonymisation sans jamais toucher au grand livre.</w:t>
      </w:r>
    </w:p>
    <w:p w14:paraId="33C65F40" w14:textId="41DE33AB" w:rsidR="00EA48BE" w:rsidRDefault="00EA48BE" w:rsidP="00EA48BE">
      <w:pPr>
        <w:jc w:val="center"/>
      </w:pPr>
      <w:r>
        <w:rPr>
          <w:noProof/>
        </w:rPr>
        <w:lastRenderedPageBreak/>
        <w:drawing>
          <wp:inline distT="0" distB="0" distL="0" distR="0" wp14:anchorId="0470F3C7" wp14:editId="3BDDCAFA">
            <wp:extent cx="3366574" cy="5969001"/>
            <wp:effectExtent l="0" t="0" r="5715" b="0"/>
            <wp:docPr id="204648688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68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574" cy="596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70B0" w14:textId="409B0CFE" w:rsidR="00EA48BE" w:rsidRDefault="00EA48BE" w:rsidP="00EA48BE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Cycle de vie d'un compte abonné</w:t>
      </w:r>
    </w:p>
    <w:p w14:paraId="31CD6DBC" w14:textId="30F783CA" w:rsidR="00EA48BE" w:rsidRDefault="00EA48BE" w:rsidP="00EA48BE">
      <w:pPr>
        <w:pStyle w:val="Titre1"/>
      </w:pPr>
      <w:r>
        <w:t>8. Ce qui reste avant un pilote réel</w:t>
      </w:r>
    </w:p>
    <w:p w14:paraId="48755C43" w14:textId="59615546" w:rsidR="00EA48BE" w:rsidRDefault="00EA48BE" w:rsidP="00EA48BE">
      <w:r>
        <w:t>Non pas du logiciel — des signatures :</w:t>
      </w:r>
    </w:p>
    <w:p w14:paraId="5E74978E" w14:textId="39E70A4A" w:rsidR="00EA48BE" w:rsidRDefault="00EA48BE" w:rsidP="00EA48BE">
      <w:pPr>
        <w:pStyle w:val="Listepuces"/>
      </w:pPr>
      <w:r>
        <w:t>Partenaire bancaire parrain — accès ACSS, formats CPA-005 certifiés, règlement piloté par la banque.</w:t>
      </w:r>
    </w:p>
    <w:p w14:paraId="7BC2BD3A" w14:textId="78E24763" w:rsidR="00EA48BE" w:rsidRDefault="00EA48BE" w:rsidP="00EA48BE">
      <w:pPr>
        <w:pStyle w:val="Listepuces"/>
      </w:pPr>
      <w:r>
        <w:t>API Interac certifiée — via le partenaire ; le connecteur logiciel est déjà en place.</w:t>
      </w:r>
    </w:p>
    <w:p w14:paraId="071FBF56" w14:textId="67FC05A1" w:rsidR="00EA48BE" w:rsidRDefault="00EA48BE" w:rsidP="00EA48BE">
      <w:pPr>
        <w:pStyle w:val="Listepuces"/>
      </w:pPr>
      <w:r>
        <w:t xml:space="preserve">Fournisseur KYB réel — </w:t>
      </w:r>
      <w:proofErr w:type="spellStart"/>
      <w:r>
        <w:t>Trulioo</w:t>
      </w:r>
      <w:proofErr w:type="spellEnd"/>
      <w:r>
        <w:t xml:space="preserve"> ou </w:t>
      </w:r>
      <w:proofErr w:type="spellStart"/>
      <w:r>
        <w:t>Onfido</w:t>
      </w:r>
      <w:proofErr w:type="spellEnd"/>
      <w:r>
        <w:t xml:space="preserve"> derrière l'interface existante.</w:t>
      </w:r>
    </w:p>
    <w:p w14:paraId="680C3AF5" w14:textId="383EAC6F" w:rsidR="00EA48BE" w:rsidRDefault="00EA48BE" w:rsidP="00EA48BE">
      <w:pPr>
        <w:pStyle w:val="Listepuces"/>
      </w:pPr>
      <w:r>
        <w:t>Cadre réglementaire — FINTRAC, AMF, RPAA, programme AML/KYB. Pour le Modèle B, le rôle de PSP sous-jacent est à cadrer avec le parrain.</w:t>
      </w:r>
    </w:p>
    <w:p w14:paraId="1798D27A" w14:textId="5CCF43C6" w:rsidR="00EA48BE" w:rsidRDefault="00EA48BE" w:rsidP="00EA48BE">
      <w:r>
        <w:t>Tout le logiciel est écrit, testé de bout en bout et audité. La plateforme attend ses partenaires, pas ses développeurs.</w:t>
      </w:r>
    </w:p>
    <w:p w14:paraId="28E0CB00" w14:textId="77777777" w:rsidR="00EA48BE" w:rsidRPr="00EA48BE" w:rsidRDefault="00EA48BE" w:rsidP="00EA48BE"/>
    <w:sectPr w:rsidR="00EA48BE" w:rsidRPr="00EA48BE" w:rsidSect="00EA48BE">
      <w:pgSz w:w="12240" w:h="15840"/>
      <w:pgMar w:top="1080" w:right="1280" w:bottom="1080" w:left="12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3ACD71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14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BE"/>
    <w:rsid w:val="00043A09"/>
    <w:rsid w:val="00253C6F"/>
    <w:rsid w:val="003F6F49"/>
    <w:rsid w:val="004003E8"/>
    <w:rsid w:val="00432907"/>
    <w:rsid w:val="004D6C5A"/>
    <w:rsid w:val="006C4613"/>
    <w:rsid w:val="009B689E"/>
    <w:rsid w:val="00A01559"/>
    <w:rsid w:val="00C87285"/>
    <w:rsid w:val="00EA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A409"/>
  <w15:chartTrackingRefBased/>
  <w15:docId w15:val="{591EE4CD-0968-48AB-8630-40B219CF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4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4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4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4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4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4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4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48B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48B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48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48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48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48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48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48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48B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4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48B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48BE"/>
    <w:rPr>
      <w:b/>
      <w:bCs/>
      <w:smallCaps/>
      <w:color w:val="2F5496" w:themeColor="accent1" w:themeShade="BF"/>
      <w:spacing w:val="5"/>
    </w:rPr>
  </w:style>
  <w:style w:type="paragraph" w:styleId="Formuledepolitesse">
    <w:name w:val="Closing"/>
    <w:basedOn w:val="Normal"/>
    <w:link w:val="FormuledepolitesseCar"/>
    <w:uiPriority w:val="99"/>
    <w:unhideWhenUsed/>
    <w:rsid w:val="00EA48BE"/>
    <w:pPr>
      <w:spacing w:after="0"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rsid w:val="00EA48BE"/>
  </w:style>
  <w:style w:type="paragraph" w:styleId="Listepuces">
    <w:name w:val="List Bullet"/>
    <w:basedOn w:val="Normal"/>
    <w:uiPriority w:val="99"/>
    <w:unhideWhenUsed/>
    <w:rsid w:val="00EA48B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666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Girouard</dc:creator>
  <cp:keywords/>
  <dc:description/>
  <cp:lastModifiedBy>Pierre Girouard</cp:lastModifiedBy>
  <cp:revision>2</cp:revision>
  <dcterms:created xsi:type="dcterms:W3CDTF">2026-08-10T19:01:00Z</dcterms:created>
  <dcterms:modified xsi:type="dcterms:W3CDTF">2026-08-10T19:06:00Z</dcterms:modified>
</cp:coreProperties>
</file>