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0"/>
          <w:szCs w:val="40"/>
        </w:rPr>
        <w:t xml:space="preserve">Action Plan: Gut Microbiome Vignette</w:t>
      </w:r>
    </w:p>
    <w:p>
      <w:pPr>
        <w:spacing w:after="80"/>
        <w:jc w:val="center"/>
      </w:pPr>
      <w:r>
        <w:rPr>
          <w:rFonts w:ascii="Arial" w:cs="Arial" w:eastAsia="Arial" w:hAnsi="Arial"/>
          <w:color w:val="7F8C8D"/>
          <w:sz w:val="24"/>
          <w:szCs w:val="24"/>
        </w:rPr>
        <w:t xml:space="preserve">linf R Package — CRAN Submission Preparation</w:t>
      </w:r>
    </w:p>
    <w:p>
      <w:pPr>
        <w:spacing w:after="400"/>
        <w:jc w:val="center"/>
      </w:pPr>
      <w:r>
        <w:rPr>
          <w:rFonts w:ascii="Arial" w:cs="Arial" w:eastAsia="Arial" w:hAnsi="Arial"/>
          <w:color w:val="95A5A6"/>
          <w:sz w:val="22"/>
          <w:szCs w:val="22"/>
        </w:rPr>
        <w:t xml:space="preserve">March 24, 2026</w:t>
      </w:r>
    </w:p>
    <w:p>
      <w:pPr>
        <w:pStyle w:val="Heading1"/>
        <w:spacing w:after="120" w:before="240"/>
      </w:pPr>
      <w:r>
        <w:rPr>
          <w:rFonts w:ascii="Arial" w:cs="Arial" w:eastAsia="Arial" w:hAnsi="Arial"/>
          <w:b/>
          <w:bCs/>
          <w:sz w:val="32"/>
          <w:szCs w:val="32"/>
        </w:rPr>
        <w:t xml:space="preserve">Context</w:t>
      </w:r>
    </w:p>
    <w:p>
      <w:pPr>
        <w:spacing w:after="120"/>
      </w:pPr>
      <w:r>
        <w:rPr>
          <w:rFonts w:ascii="Arial" w:cs="Arial" w:eastAsia="Arial" w:hAnsi="Arial"/>
          <w:sz w:val="22"/>
          <w:szCs w:val="22"/>
        </w:rPr>
        <w:t xml:space="preserve">The linf package currently ships a single vignette (linf-intro.Rmd) that uses only rpois-generated toy data. For CRAN submission, the vignette needs to demonstrate biological relevance using real data. The exploratory AGP analysis completed on March 24, 2026 produced seed results from 5,000 American Gut Project gut samples, identifying 14 DCSTs and 11 significant disease associations (q &lt; 0.05). This plan describes how to turn those seed results into a polished vignette.</w:t>
      </w:r>
    </w:p>
    <w:p>
      <w:pPr>
        <w:pStyle w:val="Heading1"/>
        <w:spacing w:after="120" w:before="240"/>
      </w:pPr>
      <w:r>
        <w:rPr>
          <w:rFonts w:ascii="Arial" w:cs="Arial" w:eastAsia="Arial" w:hAnsi="Arial"/>
          <w:b/>
          <w:bCs/>
          <w:sz w:val="32"/>
          <w:szCs w:val="32"/>
        </w:rPr>
        <w:t xml:space="preserve">Design Constraints</w:t>
      </w:r>
    </w:p>
    <w:p>
      <w:pPr>
        <w:spacing w:after="120"/>
      </w:pPr>
      <w:r>
        <w:rPr>
          <w:rFonts w:ascii="Arial" w:cs="Arial" w:eastAsia="Arial" w:hAnsi="Arial"/>
          <w:sz w:val="22"/>
          <w:szCs w:val="22"/>
        </w:rPr>
        <w:t xml:space="preserve">The vignette must satisfy several competing requirements. CRAN imposes strict size limits and build-time constraints; the vignette must build in under 10 minutes and the bundled data must fit within the 5 MB tarball limit. At the same time, the vignette should showcase the full DCST pipeline on biologically meaningful data, demonstrating that DCSTs naturally capture clinically relevant dominance patterns in the gut.</w:t>
      </w:r>
    </w:p>
    <w:p>
      <w:pPr>
        <w:pStyle w:val="Heading1"/>
        <w:spacing w:after="120" w:before="240"/>
      </w:pPr>
      <w:r>
        <w:rPr>
          <w:rFonts w:ascii="Arial" w:cs="Arial" w:eastAsia="Arial" w:hAnsi="Arial"/>
          <w:b/>
          <w:bCs/>
          <w:sz w:val="32"/>
          <w:szCs w:val="32"/>
        </w:rPr>
        <w:t xml:space="preserve">Step 1: Curate a Vignette-Ready Data Subset</w:t>
      </w:r>
    </w:p>
    <w:p>
      <w:pPr>
        <w:spacing w:after="120"/>
      </w:pPr>
      <w:r>
        <w:rPr>
          <w:rFonts w:ascii="Arial" w:cs="Arial" w:eastAsia="Arial" w:hAnsi="Arial"/>
          <w:sz w:val="22"/>
          <w:szCs w:val="22"/>
        </w:rPr>
        <w:t xml:space="preserve">Subsample 500–1,000 samples from the 5,000-sample AGP analysis. The subsample must be stratified to preserve the interesting signal: over-represent the disease-associated DCSTs so that the vignette can reproduce the key associations without requiring a massive dataset.</w:t>
      </w:r>
    </w:p>
    <w:p>
      <w:pPr>
        <w:pStyle w:val="Heading2"/>
        <w:spacing w:after="120" w:before="240"/>
      </w:pPr>
      <w:r>
        <w:rPr>
          <w:rFonts w:ascii="Arial" w:cs="Arial" w:eastAsia="Arial" w:hAnsi="Arial"/>
          <w:b/>
          <w:bCs/>
          <w:sz w:val="26"/>
          <w:szCs w:val="26"/>
        </w:rPr>
        <w:t xml:space="preserve">Stratification Criteria</w:t>
      </w:r>
    </w:p>
    <w:p>
      <w:pPr>
        <w:pStyle w:val="ListParagraph"/>
        <w:numPr>
          <w:ilvl w:val="0"/>
          <w:numId w:val="2"/>
        </w:numPr>
        <w:spacing w:after="60"/>
      </w:pPr>
      <w:r>
        <w:rPr>
          <w:rFonts w:ascii="Arial" w:cs="Arial" w:eastAsia="Arial" w:hAnsi="Arial"/>
          <w:b/>
          <w:bCs/>
          <w:sz w:val="22"/>
          <w:szCs w:val="22"/>
        </w:rPr>
        <w:t xml:space="preserve">Mandatory inclusion: </w:t>
      </w:r>
      <w:r>
        <w:rPr>
          <w:rFonts w:ascii="Arial" w:cs="Arial" w:eastAsia="Arial" w:hAnsi="Arial"/>
          <w:sz w:val="22"/>
          <w:szCs w:val="22"/>
        </w:rPr>
        <w:t xml:space="preserve">all samples from Prevotella_7, Pasteurellaceae, Eukaryota, Akkermansia, and Staphylococcus DCSTs (rare but disease-associated)</w:t>
      </w:r>
    </w:p>
    <w:p>
      <w:pPr>
        <w:pStyle w:val="ListParagraph"/>
        <w:numPr>
          <w:ilvl w:val="0"/>
          <w:numId w:val="2"/>
        </w:numPr>
        <w:spacing w:after="60"/>
      </w:pPr>
      <w:r>
        <w:rPr>
          <w:rFonts w:ascii="Arial" w:cs="Arial" w:eastAsia="Arial" w:hAnsi="Arial"/>
          <w:b/>
          <w:bCs/>
          <w:sz w:val="22"/>
          <w:szCs w:val="22"/>
        </w:rPr>
        <w:t xml:space="preserve">Random sample: </w:t>
      </w:r>
      <w:r>
        <w:rPr>
          <w:rFonts w:ascii="Arial" w:cs="Arial" w:eastAsia="Arial" w:hAnsi="Arial"/>
          <w:sz w:val="22"/>
          <w:szCs w:val="22"/>
        </w:rPr>
        <w:t xml:space="preserve">proportional draw from Bacteroides, Escherichia-Shigella, Prevotella_9, Faecalibacterium, and other large DCSTs</w:t>
      </w:r>
    </w:p>
    <w:p>
      <w:pPr>
        <w:pStyle w:val="ListParagraph"/>
        <w:numPr>
          <w:ilvl w:val="0"/>
          <w:numId w:val="2"/>
        </w:numPr>
        <w:spacing w:after="60"/>
      </w:pPr>
      <w:r>
        <w:rPr>
          <w:rFonts w:ascii="Arial" w:cs="Arial" w:eastAsia="Arial" w:hAnsi="Arial"/>
          <w:b/>
          <w:bCs/>
          <w:sz w:val="22"/>
          <w:szCs w:val="22"/>
        </w:rPr>
        <w:t xml:space="preserve">Disease enrichment: </w:t>
      </w:r>
      <w:r>
        <w:rPr>
          <w:rFonts w:ascii="Arial" w:cs="Arial" w:eastAsia="Arial" w:hAnsi="Arial"/>
          <w:sz w:val="22"/>
          <w:szCs w:val="22"/>
        </w:rPr>
        <w:t xml:space="preserve">over-sample IBD, IBS, and obesity cases by 2–3x their population rate to ensure statistical power in the reduced dataset</w:t>
      </w:r>
    </w:p>
    <w:p>
      <w:pPr>
        <w:pStyle w:val="ListParagraph"/>
        <w:numPr>
          <w:ilvl w:val="0"/>
          <w:numId w:val="2"/>
        </w:numPr>
        <w:spacing w:after="60"/>
      </w:pPr>
      <w:r>
        <w:rPr>
          <w:rFonts w:ascii="Arial" w:cs="Arial" w:eastAsia="Arial" w:hAnsi="Arial"/>
          <w:b/>
          <w:bCs/>
          <w:sz w:val="22"/>
          <w:szCs w:val="22"/>
        </w:rPr>
        <w:t xml:space="preserve">Target size: </w:t>
      </w:r>
      <w:r>
        <w:rPr>
          <w:rFonts w:ascii="Arial" w:cs="Arial" w:eastAsia="Arial" w:hAnsi="Arial"/>
          <w:sz w:val="22"/>
          <w:szCs w:val="22"/>
        </w:rPr>
        <w:t xml:space="preserve">~800 samples with ~150 taxa after filtering. As a compressed .rda file, this should be well under 500 KB</w:t>
      </w:r>
    </w:p>
    <w:p>
      <w:pPr>
        <w:pStyle w:val="Heading2"/>
        <w:spacing w:after="120" w:before="240"/>
      </w:pPr>
      <w:r>
        <w:rPr>
          <w:rFonts w:ascii="Arial" w:cs="Arial" w:eastAsia="Arial" w:hAnsi="Arial"/>
          <w:b/>
          <w:bCs/>
          <w:sz w:val="26"/>
          <w:szCs w:val="26"/>
        </w:rPr>
        <w:t xml:space="preserve">Data Packaging</w:t>
      </w:r>
    </w:p>
    <w:p>
      <w:pPr>
        <w:spacing w:after="120"/>
      </w:pPr>
      <w:r>
        <w:rPr>
          <w:rFonts w:ascii="Arial" w:cs="Arial" w:eastAsia="Arial" w:hAnsi="Arial"/>
          <w:sz w:val="22"/>
          <w:szCs w:val="22"/>
        </w:rPr>
        <w:t xml:space="preserve">Store the subsampled count matrix and metadata as an .rda file in data/ (e.g., agp_gut_subset.rda). Include a corresponding data-raw/ script (data-raw/agp_gut_subset.R) documenting exactly how the subset was created from the full PRIME download. The metadata should include only the columns needed for the vignette: Run ID, Phenotype (parsed into binary disease indicators), BMI category, and antibiotic use.</w:t>
      </w:r>
    </w:p>
    <w:p>
      <w:pPr>
        <w:pStyle w:val="Heading1"/>
        <w:spacing w:after="120" w:before="240"/>
      </w:pPr>
      <w:r>
        <w:rPr>
          <w:rFonts w:ascii="Arial" w:cs="Arial" w:eastAsia="Arial" w:hAnsi="Arial"/>
          <w:b/>
          <w:bCs/>
          <w:sz w:val="32"/>
          <w:szCs w:val="32"/>
        </w:rPr>
        <w:t xml:space="preserve">Step 2: Vignette Structure</w:t>
      </w:r>
    </w:p>
    <w:p>
      <w:pPr>
        <w:spacing w:after="120"/>
      </w:pPr>
      <w:r>
        <w:rPr>
          <w:rFonts w:ascii="Arial" w:cs="Arial" w:eastAsia="Arial" w:hAnsi="Arial"/>
          <w:sz w:val="22"/>
          <w:szCs w:val="22"/>
        </w:rPr>
        <w:t xml:space="preserve">The vignette should be restructured into three acts that build a scientific narrative, not just a function-call demo.</w:t>
      </w:r>
    </w:p>
    <w:p>
      <w:pPr>
        <w:pStyle w:val="Heading2"/>
        <w:spacing w:after="120" w:before="240"/>
      </w:pPr>
      <w:r>
        <w:rPr>
          <w:rFonts w:ascii="Arial" w:cs="Arial" w:eastAsia="Arial" w:hAnsi="Arial"/>
          <w:b/>
          <w:bCs/>
          <w:sz w:val="26"/>
          <w:szCs w:val="26"/>
        </w:rPr>
        <w:t xml:space="preserve">Proposed Outline</w:t>
      </w:r>
    </w:p>
    <w:p>
      <w:pPr>
        <w:spacing w:after="120"/>
      </w:pPr>
      <w:r>
        <w:rPr>
          <w:rFonts w:ascii="Arial" w:cs="Arial" w:eastAsia="Arial" w:hAnsi="Arial"/>
          <w:b/>
          <w:bCs/>
          <w:sz w:val="22"/>
          <w:szCs w:val="22"/>
        </w:rPr>
        <w:t xml:space="preserve">Section 1: Introduction and Biological Motivation (~1 page). </w:t>
      </w:r>
      <w:r>
        <w:rPr>
          <w:rFonts w:ascii="Arial" w:cs="Arial" w:eastAsia="Arial" w:hAnsi="Arial"/>
          <w:sz w:val="22"/>
          <w:szCs w:val="22"/>
        </w:rPr>
        <w:t xml:space="preserve">Brief explanation of compositional data in microbiome studies, why normalization matters, and the concept of L-infinity CSTs. Frame the gut as a contrasting case to the vaginal microbiome: dominance is rarer and often pathological rather than healthy.</w:t>
      </w:r>
    </w:p>
    <w:p>
      <w:pPr>
        <w:spacing w:after="120"/>
      </w:pPr>
      <w:r>
        <w:rPr>
          <w:rFonts w:ascii="Arial" w:cs="Arial" w:eastAsia="Arial" w:hAnsi="Arial"/>
          <w:b/>
          <w:bCs/>
          <w:sz w:val="22"/>
          <w:szCs w:val="22"/>
        </w:rPr>
        <w:t xml:space="preserve">Section 2: The DCST Pipeline (~2 pages). </w:t>
      </w:r>
      <w:r>
        <w:rPr>
          <w:rFonts w:ascii="Arial" w:cs="Arial" w:eastAsia="Arial" w:hAnsi="Arial"/>
          <w:sz w:val="22"/>
          <w:szCs w:val="22"/>
        </w:rPr>
        <w:t xml:space="preserve">Walk through the full pipeline using the bundled AGP subset: filter.asv() for QC, normalize.linf() for L-infinity normalization, linf.csts() for depth-1 DCST assignment, and refine.linf.csts() for depth-2 refinement. Show the DCST size distribution and interpret it biologically (Bacteroides and Prevotella enterotype-like clusters, plus a long tail).</w:t>
      </w:r>
    </w:p>
    <w:p>
      <w:pPr>
        <w:spacing w:after="120"/>
      </w:pPr>
      <w:r>
        <w:rPr>
          <w:rFonts w:ascii="Arial" w:cs="Arial" w:eastAsia="Arial" w:hAnsi="Arial"/>
          <w:b/>
          <w:bCs/>
          <w:sz w:val="22"/>
          <w:szCs w:val="22"/>
        </w:rPr>
        <w:t xml:space="preserve">Section 3: Disease Associations (~2 pages). </w:t>
      </w:r>
      <w:r>
        <w:rPr>
          <w:rFonts w:ascii="Arial" w:cs="Arial" w:eastAsia="Arial" w:hAnsi="Arial"/>
          <w:sz w:val="22"/>
          <w:szCs w:val="22"/>
        </w:rPr>
        <w:t xml:space="preserve">Demonstrate that DCSTs capture clinically meaningful structure. Run Fisher’s exact tests for 2–3 conditions (IBS, obesity, cardiovascular disease). Show the heatmap. This is the payoff: without any clustering, the L-infinity framework identifies biologically interpretable community types.</w:t>
      </w:r>
    </w:p>
    <w:p>
      <w:pPr>
        <w:spacing w:after="120"/>
      </w:pPr>
      <w:r>
        <w:rPr>
          <w:rFonts w:ascii="Arial" w:cs="Arial" w:eastAsia="Arial" w:hAnsi="Arial"/>
          <w:b/>
          <w:bCs/>
          <w:sz w:val="22"/>
          <w:szCs w:val="22"/>
        </w:rPr>
        <w:t xml:space="preserve">Section 4: Landmark Analysis (~1 page). </w:t>
      </w:r>
      <w:r>
        <w:rPr>
          <w:rFonts w:ascii="Arial" w:cs="Arial" w:eastAsia="Arial" w:hAnsi="Arial"/>
          <w:sz w:val="22"/>
          <w:szCs w:val="22"/>
        </w:rPr>
        <w:t xml:space="preserve">Use linf.landmarks() to characterize 2–3 disease-associated DCSTs. Show what the endpoint.max (most extreme) and mean.rep (most typical) samples look like compositionally. This demonstrates a unique capability of the linf framework.</w:t>
      </w:r>
    </w:p>
    <w:p>
      <w:pPr>
        <w:pStyle w:val="Heading1"/>
        <w:spacing w:after="120" w:before="240"/>
      </w:pPr>
      <w:r>
        <w:rPr>
          <w:rFonts w:ascii="Arial" w:cs="Arial" w:eastAsia="Arial" w:hAnsi="Arial"/>
          <w:b/>
          <w:bCs/>
          <w:sz w:val="32"/>
          <w:szCs w:val="32"/>
        </w:rPr>
        <w:t xml:space="preserve">Step 3: Pre-computation Strategy</w:t>
      </w:r>
    </w:p>
    <w:p>
      <w:pPr>
        <w:spacing w:after="120"/>
      </w:pPr>
      <w:r>
        <w:rPr>
          <w:rFonts w:ascii="Arial" w:cs="Arial" w:eastAsia="Arial" w:hAnsi="Arial"/>
          <w:sz w:val="22"/>
          <w:szCs w:val="22"/>
        </w:rPr>
        <w:t xml:space="preserve">CRAN vignettes must build from source, but the disease association tests require a non-trivial dataset. Two approaches:</w:t>
      </w:r>
    </w:p>
    <w:p>
      <w:pPr>
        <w:spacing w:after="120"/>
      </w:pPr>
      <w:r>
        <w:rPr>
          <w:rFonts w:ascii="Arial" w:cs="Arial" w:eastAsia="Arial" w:hAnsi="Arial"/>
          <w:b/>
          <w:bCs/>
          <w:sz w:val="22"/>
          <w:szCs w:val="22"/>
        </w:rPr>
        <w:t xml:space="preserve">Option A (recommended): </w:t>
      </w:r>
      <w:r>
        <w:rPr>
          <w:rFonts w:ascii="Arial" w:cs="Arial" w:eastAsia="Arial" w:hAnsi="Arial"/>
          <w:sz w:val="22"/>
          <w:szCs w:val="22"/>
        </w:rPr>
        <w:t xml:space="preserve">Build the vignette normally with the bundled 800-sample dataset. At 800 samples and 150 taxa, the pipeline should complete in under 30 seconds. The Fisher’s exact tests are instantaneous. This keeps the vignette fully reproducible with no pre-computed results.</w:t>
      </w:r>
    </w:p>
    <w:p>
      <w:pPr>
        <w:spacing w:after="120"/>
      </w:pPr>
      <w:r>
        <w:rPr>
          <w:rFonts w:ascii="Arial" w:cs="Arial" w:eastAsia="Arial" w:hAnsi="Arial"/>
          <w:b/>
          <w:bCs/>
          <w:sz w:val="22"/>
          <w:szCs w:val="22"/>
        </w:rPr>
        <w:t xml:space="preserve">Option B (fallback): </w:t>
      </w:r>
      <w:r>
        <w:rPr>
          <w:rFonts w:ascii="Arial" w:cs="Arial" w:eastAsia="Arial" w:hAnsi="Arial"/>
          <w:sz w:val="22"/>
          <w:szCs w:val="22"/>
        </w:rPr>
        <w:t xml:space="preserve">If build time is too long, pre-compute results and store them as .rda in inst/extdata/, then load them in the vignette with conditional eval. This is the knitr::opts_chunk$set(eval = FALSE) pattern with pre-baked output. Less ideal for reproducibility.</w:t>
      </w:r>
    </w:p>
    <w:p>
      <w:pPr>
        <w:pStyle w:val="Heading1"/>
        <w:spacing w:after="120" w:before="240"/>
      </w:pPr>
      <w:r>
        <w:rPr>
          <w:rFonts w:ascii="Arial" w:cs="Arial" w:eastAsia="Arial" w:hAnsi="Arial"/>
          <w:b/>
          <w:bCs/>
          <w:sz w:val="32"/>
          <w:szCs w:val="32"/>
        </w:rPr>
        <w:t xml:space="preserve">Step 4: Taxonomic Cleanup Before Vignette</w:t>
      </w:r>
    </w:p>
    <w:p>
      <w:pPr>
        <w:spacing w:after="120"/>
      </w:pPr>
      <w:r>
        <w:rPr>
          <w:rFonts w:ascii="Arial" w:cs="Arial" w:eastAsia="Arial" w:hAnsi="Arial"/>
          <w:sz w:val="22"/>
          <w:szCs w:val="22"/>
        </w:rPr>
        <w:t xml:space="preserve">The seed analysis revealed several taxonomically problematic DCSTs that need attention before the vignette is written.</w:t>
      </w:r>
    </w:p>
    <w:p>
      <w:pPr>
        <w:pStyle w:val="ListParagraph"/>
        <w:numPr>
          <w:ilvl w:val="0"/>
          <w:numId w:val="2"/>
        </w:numPr>
        <w:spacing w:after="60"/>
      </w:pPr>
      <w:r>
        <w:rPr>
          <w:rFonts w:ascii="Arial" w:cs="Arial" w:eastAsia="Arial" w:hAnsi="Arial"/>
          <w:b/>
          <w:bCs/>
          <w:sz w:val="22"/>
          <w:szCs w:val="22"/>
        </w:rPr>
        <w:t xml:space="preserve">Escherichia-Shigella inflation: </w:t>
      </w:r>
      <w:r>
        <w:rPr>
          <w:rFonts w:ascii="Arial" w:cs="Arial" w:eastAsia="Arial" w:hAnsi="Arial"/>
          <w:sz w:val="22"/>
          <w:szCs w:val="22"/>
        </w:rPr>
        <w:t xml:space="preserve">22.7% dominance is likely inflated by 16S V4 cross-reactivity. The vignette should acknowledge this limitation explicitly. Consider whether to filter or just annotate.</w:t>
      </w:r>
    </w:p>
    <w:p>
      <w:pPr>
        <w:pStyle w:val="ListParagraph"/>
        <w:numPr>
          <w:ilvl w:val="0"/>
          <w:numId w:val="2"/>
        </w:numPr>
        <w:spacing w:after="60"/>
      </w:pPr>
      <w:r>
        <w:rPr>
          <w:rFonts w:ascii="Arial" w:cs="Arial" w:eastAsia="Arial" w:hAnsi="Arial"/>
          <w:b/>
          <w:bCs/>
          <w:sz w:val="22"/>
          <w:szCs w:val="22"/>
        </w:rPr>
        <w:t xml:space="preserve">Oral taxa (Pasteurellaceae, Streptococcus, Rothia): </w:t>
      </w:r>
      <w:r>
        <w:rPr>
          <w:rFonts w:ascii="Arial" w:cs="Arial" w:eastAsia="Arial" w:hAnsi="Arial"/>
          <w:sz w:val="22"/>
          <w:szCs w:val="22"/>
        </w:rPr>
        <w:t xml:space="preserve">These likely represent oral contamination of stool samples. The Pasteurellaceae–CVD association (OR 8.76) may be a confound (oral health correlates with cardiovascular disease). Discuss in the vignette as a feature of DCSTs: they flag potentially contaminated or atypical samples.</w:t>
      </w:r>
    </w:p>
    <w:p>
      <w:pPr>
        <w:pStyle w:val="ListParagraph"/>
        <w:numPr>
          <w:ilvl w:val="0"/>
          <w:numId w:val="2"/>
        </w:numPr>
        <w:spacing w:after="60"/>
      </w:pPr>
      <w:r>
        <w:rPr>
          <w:rFonts w:ascii="Arial" w:cs="Arial" w:eastAsia="Arial" w:hAnsi="Arial"/>
          <w:b/>
          <w:bCs/>
          <w:sz w:val="22"/>
          <w:szCs w:val="22"/>
        </w:rPr>
        <w:t xml:space="preserve">Eukaryota and Unassigned: </w:t>
      </w:r>
      <w:r>
        <w:rPr>
          <w:rFonts w:ascii="Arial" w:cs="Arial" w:eastAsia="Arial" w:hAnsi="Arial"/>
          <w:sz w:val="22"/>
          <w:szCs w:val="22"/>
        </w:rPr>
        <w:t xml:space="preserve">Remove these from the vignette dataset or collapse them into RARE_DOMINANT. They are not biologically interpretable taxa.</w:t>
      </w:r>
    </w:p>
    <w:p>
      <w:pPr>
        <w:pStyle w:val="Heading1"/>
        <w:spacing w:after="120" w:before="240"/>
      </w:pPr>
      <w:r>
        <w:rPr>
          <w:rFonts w:ascii="Arial" w:cs="Arial" w:eastAsia="Arial" w:hAnsi="Arial"/>
          <w:b/>
          <w:bCs/>
          <w:sz w:val="32"/>
          <w:szCs w:val="32"/>
        </w:rPr>
        <w:t xml:space="preserve">Step 5: Integration with Package</w:t>
      </w:r>
    </w:p>
    <w:p>
      <w:pPr>
        <w:spacing w:after="120"/>
      </w:pPr>
      <w:r>
        <w:rPr>
          <w:rFonts w:ascii="Arial" w:cs="Arial" w:eastAsia="Arial" w:hAnsi="Arial"/>
          <w:sz w:val="22"/>
          <w:szCs w:val="22"/>
        </w:rPr>
        <w:t xml:space="preserve">The current linf-intro.Rmd should be restructured rather than replaced. Keep the toy-data quick-start as the first section (it demonstrates function calls without requiring biological knowledge), then add the AGP gut analysis as the second major section. This gives two complementary examples: one computational, one biological.</w:t>
      </w:r>
    </w:p>
    <w:p>
      <w:pPr>
        <w:spacing w:after="120"/>
      </w:pPr>
      <w:r>
        <w:rPr>
          <w:rFonts w:ascii="Arial" w:cs="Arial" w:eastAsia="Arial" w:hAnsi="Arial"/>
          <w:sz w:val="22"/>
          <w:szCs w:val="22"/>
        </w:rPr>
        <w:t xml:space="preserve">For the pkgdown site, the full 5,000-sample analysis can live as a separate article in vignettes/articles/gut-dcst-disease-analysis.Rmd. This renders on the website but is not built during CRAN check, so it can be more computationally intensive and include the complete results.</w:t>
      </w:r>
    </w:p>
    <w:p>
      <w:pPr>
        <w:pStyle w:val="Heading1"/>
        <w:spacing w:after="120" w:before="240"/>
      </w:pPr>
      <w:r>
        <w:rPr>
          <w:rFonts w:ascii="Arial" w:cs="Arial" w:eastAsia="Arial" w:hAnsi="Arial"/>
          <w:b/>
          <w:bCs/>
          <w:sz w:val="32"/>
          <w:szCs w:val="32"/>
        </w:rPr>
        <w:t xml:space="preserve">Step 6: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Stratified subsample, .rda creation, data-raw script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Taxonomic cleanup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Eukaryota/Unassigned, annotate Escherichia-Shigella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Vignette draft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1–4 with narrative, code chunks, and figures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pkgdown article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5,000-sample analysis as companion article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CMD check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vignette builds, data size within limits, no NOTEs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estimated effort: 10–15 hours.</w:t>
      </w:r>
    </w:p>
    <w:p>
      <w:pPr>
        <w:pStyle w:val="Heading1"/>
        <w:spacing w:after="120" w:before="240"/>
      </w:pPr>
      <w:r>
        <w:rPr>
          <w:rFonts w:ascii="Arial" w:cs="Arial" w:eastAsia="Arial" w:hAnsi="Arial"/>
          <w:b/>
          <w:bCs/>
          <w:sz w:val="32"/>
          <w:szCs w:val="32"/>
        </w:rPr>
        <w:t xml:space="preserve">Open Questions</w:t>
      </w:r>
    </w:p>
    <w:p>
      <w:pPr>
        <w:pStyle w:val="ListParagraph"/>
        <w:numPr>
          <w:ilvl w:val="0"/>
          <w:numId w:val="2"/>
        </w:numPr>
        <w:spacing w:after="60"/>
      </w:pPr>
      <w:r>
        <w:rPr>
          <w:rFonts w:ascii="Arial" w:cs="Arial" w:eastAsia="Arial" w:hAnsi="Arial"/>
          <w:sz w:val="22"/>
          <w:szCs w:val="22"/>
        </w:rPr>
        <w:t xml:space="preserve">Should the vignette also include the vaginal microbiome Valencia concordance analysis (Tables 2–5 from the paper), or keep it gut-only?</w:t>
      </w:r>
    </w:p>
    <w:p>
      <w:pPr>
        <w:pStyle w:val="ListParagraph"/>
        <w:numPr>
          <w:ilvl w:val="0"/>
          <w:numId w:val="2"/>
        </w:numPr>
        <w:spacing w:after="60"/>
      </w:pPr>
      <w:r>
        <w:rPr>
          <w:rFonts w:ascii="Arial" w:cs="Arial" w:eastAsia="Arial" w:hAnsi="Arial"/>
          <w:sz w:val="22"/>
          <w:szCs w:val="22"/>
        </w:rPr>
        <w:t xml:space="preserve">What license applies to the AGP abundance data? Need to verify that bundling a subset in an R package is permitted under the AGP data use agreement.</w:t>
      </w:r>
    </w:p>
    <w:p>
      <w:pPr>
        <w:pStyle w:val="ListParagraph"/>
        <w:numPr>
          <w:ilvl w:val="0"/>
          <w:numId w:val="2"/>
        </w:numPr>
        <w:spacing w:after="60"/>
      </w:pPr>
      <w:r>
        <w:rPr>
          <w:rFonts w:ascii="Arial" w:cs="Arial" w:eastAsia="Arial" w:hAnsi="Arial"/>
          <w:sz w:val="22"/>
          <w:szCs w:val="22"/>
        </w:rPr>
        <w:t xml:space="preserve">Should the depth-2 refinement be included in the vignette, or deferred to the pkgdown article? It adds complexity but shows an important capability.</w:t>
      </w:r>
    </w:p>
    <w:p>
      <w:pPr>
        <w:pStyle w:val="ListParagraph"/>
        <w:numPr>
          <w:ilvl w:val="0"/>
          <w:numId w:val="2"/>
        </w:numPr>
        <w:spacing w:after="60"/>
      </w:pPr>
      <w:r>
        <w:rPr>
          <w:rFonts w:ascii="Arial" w:cs="Arial" w:eastAsia="Arial" w:hAnsi="Arial"/>
          <w:sz w:val="22"/>
          <w:szCs w:val="22"/>
        </w:rPr>
        <w:t xml:space="preserve">Is 800 samples the right size, or should we target 500 to keep the tarball smaller? Need to test whether the key associations survive at n=500.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linf package — Gut Vignette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2026-03-24T15:59:18.451Z</dcterms:created>
  <dcterms:modified xsi:type="dcterms:W3CDTF">2026-03-24T15:59:18.451Z</dcterms:modified>
</cp:coreProperties>
</file>

<file path=docProps/custom.xml><?xml version="1.0" encoding="utf-8"?>
<Properties xmlns="http://schemas.openxmlformats.org/officeDocument/2006/custom-properties" xmlns:vt="http://schemas.openxmlformats.org/officeDocument/2006/docPropsVTypes"/>
</file>