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Action Plan: Gut DCST–Disease Association Paper</w:t>
      </w:r>
    </w:p>
    <w:p>
      <w:pPr>
        <w:spacing w:after="80"/>
        <w:jc w:val="center"/>
      </w:pPr>
      <w:r>
        <w:rPr>
          <w:rFonts w:ascii="Arial" w:cs="Arial" w:eastAsia="Arial" w:hAnsi="Arial"/>
          <w:color w:val="7F8C8D"/>
          <w:sz w:val="24"/>
          <w:szCs w:val="24"/>
        </w:rPr>
        <w:t xml:space="preserve">Companion Study to Gajer &amp; Ravel 2025 (arXiv:2503.21543)</w:t>
      </w:r>
    </w:p>
    <w:p>
      <w:pPr>
        <w:spacing w:after="400"/>
        <w:jc w:val="center"/>
      </w:pPr>
      <w:r>
        <w:rPr>
          <w:rFonts w:ascii="Arial" w:cs="Arial" w:eastAsia="Arial" w:hAnsi="Arial"/>
          <w:color w:val="95A5A6"/>
          <w:sz w:val="22"/>
          <w:szCs w:val="22"/>
        </w:rPr>
        <w:t xml:space="preserve">March 24, 2026 — Based on Seed Results from AGP Analysis</w:t>
      </w:r>
    </w:p>
    <w:p>
      <w:pPr>
        <w:pStyle w:val="Heading1"/>
        <w:spacing w:after="120" w:before="240"/>
      </w:pPr>
      <w:r>
        <w:rPr>
          <w:rFonts w:ascii="Arial" w:cs="Arial" w:eastAsia="Arial" w:hAnsi="Arial"/>
          <w:b/>
          <w:bCs/>
          <w:sz w:val="32"/>
          <w:szCs w:val="32"/>
        </w:rPr>
        <w:t xml:space="preserve">Seed Results Summary</w:t>
      </w:r>
    </w:p>
    <w:p>
      <w:pPr>
        <w:spacing w:after="120"/>
      </w:pPr>
      <w:r>
        <w:rPr>
          <w:rFonts w:ascii="Arial" w:cs="Arial" w:eastAsia="Arial" w:hAnsi="Arial"/>
          <w:sz w:val="22"/>
          <w:szCs w:val="22"/>
        </w:rPr>
        <w:t xml:space="preserve">An exploratory analysis of 5,000 American Gut Project samples (PRJEB11419) was completed on March 24, 2026. The linf DCST pipeline identified 14 depth-1 DCSTs and 11 statistically significant DCST–disease associations after Benjamini-Hochberg correction (q &lt; 0.05). Key findings include Prevotella_7 enrichment in obesity (OR 3.98), Pasteurellaceae enrichment in cardiovascular disease (OR 8.76), Prevotella_9 depletion in autoimmune conditions (OR 0.30), and Escherichia-Shigella enrichment in IBS (OR 1.53). These results are promising but preliminary: no covariates were adjusted, metadata is self-reported, and several DCSTs show taxonomic artifacts.</w:t>
      </w:r>
    </w:p>
    <w:p>
      <w:pPr>
        <w:pStyle w:val="Heading1"/>
        <w:spacing w:after="120" w:before="240"/>
      </w:pPr>
      <w:r>
        <w:rPr>
          <w:rFonts w:ascii="Arial" w:cs="Arial" w:eastAsia="Arial" w:hAnsi="Arial"/>
          <w:b/>
          <w:bCs/>
          <w:sz w:val="32"/>
          <w:szCs w:val="32"/>
        </w:rPr>
        <w:t xml:space="preserve">The Scientific Argument</w:t>
      </w:r>
    </w:p>
    <w:p>
      <w:pPr>
        <w:spacing w:after="120"/>
      </w:pPr>
      <w:r>
        <w:rPr>
          <w:rFonts w:ascii="Arial" w:cs="Arial" w:eastAsia="Arial" w:hAnsi="Arial"/>
          <w:sz w:val="22"/>
          <w:szCs w:val="22"/>
        </w:rPr>
        <w:t xml:space="preserve">The paper would make the following central claim: L-infinity DCSTs, which require no clustering and are defined purely by compositional geometry, naturally identify clinically meaningful dominance patterns in the human gut microbiome. Unlike clustering-based enterotypes (Arumugam et al. 2011), DCSTs are deterministic, hierarchical, and biologically grounded in the concept of species dominance. In the gut, where single-species dominance is rare and often pathological, DCSTs efficiently flag the very samples that carry disease signal.</w:t>
      </w:r>
    </w:p>
    <w:p>
      <w:pPr>
        <w:spacing w:after="120"/>
      </w:pPr>
      <w:r>
        <w:rPr>
          <w:rFonts w:ascii="Arial" w:cs="Arial" w:eastAsia="Arial" w:hAnsi="Arial"/>
          <w:sz w:val="22"/>
          <w:szCs w:val="22"/>
        </w:rPr>
        <w:t xml:space="preserve">This positions the paper as both a methods application (extending linf from vaginal to gut) and a biological finding (dominance-based community typing reveals disease associations). The dual nature is a strength for journals like Microbiome, mSystems, or ISME Communications.</w:t>
      </w:r>
    </w:p>
    <w:p>
      <w:pPr>
        <w:pStyle w:val="Heading1"/>
        <w:spacing w:after="120" w:before="240"/>
      </w:pPr>
      <w:r>
        <w:rPr>
          <w:rFonts w:ascii="Arial" w:cs="Arial" w:eastAsia="Arial" w:hAnsi="Arial"/>
          <w:b/>
          <w:bCs/>
          <w:sz w:val="32"/>
          <w:szCs w:val="32"/>
        </w:rPr>
        <w:t xml:space="preserve">Critical Gaps to Address</w:t>
      </w:r>
    </w:p>
    <w:p>
      <w:pPr>
        <w:pStyle w:val="Heading2"/>
        <w:spacing w:after="120" w:before="240"/>
      </w:pPr>
      <w:r>
        <w:rPr>
          <w:rFonts w:ascii="Arial" w:cs="Arial" w:eastAsia="Arial" w:hAnsi="Arial"/>
          <w:b/>
          <w:bCs/>
          <w:sz w:val="26"/>
          <w:szCs w:val="26"/>
        </w:rPr>
        <w:t xml:space="preserve">Gap 1: Covariate Adjustment</w:t>
      </w:r>
    </w:p>
    <w:p>
      <w:pPr>
        <w:spacing w:after="120"/>
      </w:pPr>
      <w:r>
        <w:rPr>
          <w:rFonts w:ascii="Arial" w:cs="Arial" w:eastAsia="Arial" w:hAnsi="Arial"/>
          <w:sz w:val="22"/>
          <w:szCs w:val="22"/>
        </w:rPr>
        <w:t xml:space="preserve">The seed analysis used only Fisher’s exact tests (univariate). Peer review will require multivariate models. For each DCST–disease pair, fit a logistic regression with disease status as outcome, DCST membership as the predictor of interest, and age, sex, BMI, diet type, and sequencing depth as covariates. AGP metadata includes all of these. Report adjusted odds ratios with 95% confidence intervals. If the Prevotella_7–obesity association survives BMI adjustment (it may not, since BMI is both covariate and outcome proxy), that strengthens the finding considerably. If it doesn’t, that’s still informative and worth reporting.</w:t>
      </w:r>
    </w:p>
    <w:p>
      <w:pPr>
        <w:pStyle w:val="Heading2"/>
        <w:spacing w:after="120" w:before="240"/>
      </w:pPr>
      <w:r>
        <w:rPr>
          <w:rFonts w:ascii="Arial" w:cs="Arial" w:eastAsia="Arial" w:hAnsi="Arial"/>
          <w:b/>
          <w:bCs/>
          <w:sz w:val="26"/>
          <w:szCs w:val="26"/>
        </w:rPr>
        <w:t xml:space="preserve">Gap 2: Contamination Filtering</w:t>
      </w:r>
    </w:p>
    <w:p>
      <w:pPr>
        <w:spacing w:after="120"/>
      </w:pPr>
      <w:r>
        <w:rPr>
          <w:rFonts w:ascii="Arial" w:cs="Arial" w:eastAsia="Arial" w:hAnsi="Arial"/>
          <w:sz w:val="22"/>
          <w:szCs w:val="22"/>
        </w:rPr>
        <w:t xml:space="preserve">Several DCSTs appear to reflect sample contamination rather than true gut ecology. Pasteurellaceae, Streptococcus, Rothia, and Staphylococcus are primarily oral or skin-associated taxa. Their presence as dominant gut taxa suggests either oral contamination of stool samples or sample mislabeling. Two approaches, ideally both:</w:t>
      </w:r>
    </w:p>
    <w:p>
      <w:pPr>
        <w:pStyle w:val="ListParagraph"/>
        <w:numPr>
          <w:ilvl w:val="0"/>
          <w:numId w:val="2"/>
        </w:numPr>
        <w:spacing w:after="60"/>
      </w:pPr>
      <w:r>
        <w:rPr>
          <w:rFonts w:ascii="Arial" w:cs="Arial" w:eastAsia="Arial" w:hAnsi="Arial"/>
          <w:b/>
          <w:bCs/>
          <w:sz w:val="22"/>
          <w:szCs w:val="22"/>
        </w:rPr>
        <w:t xml:space="preserve">Source-tracking analysis: </w:t>
      </w:r>
      <w:r>
        <w:rPr>
          <w:rFonts w:ascii="Arial" w:cs="Arial" w:eastAsia="Arial" w:hAnsi="Arial"/>
          <w:sz w:val="22"/>
          <w:szCs w:val="22"/>
        </w:rPr>
        <w:t xml:space="preserve">Use SourceTracker2 or a simpler reference-based approach to estimate the fraction of each sample attributable to oral vs. gut sources. Flag samples with &gt;20% oral contribution.</w:t>
      </w:r>
    </w:p>
    <w:p>
      <w:pPr>
        <w:pStyle w:val="ListParagraph"/>
        <w:numPr>
          <w:ilvl w:val="0"/>
          <w:numId w:val="2"/>
        </w:numPr>
        <w:spacing w:after="60"/>
      </w:pPr>
      <w:r>
        <w:rPr>
          <w:rFonts w:ascii="Arial" w:cs="Arial" w:eastAsia="Arial" w:hAnsi="Arial"/>
          <w:b/>
          <w:bCs/>
          <w:sz w:val="22"/>
          <w:szCs w:val="22"/>
        </w:rPr>
        <w:t xml:space="preserve">Sensitivity analysis: </w:t>
      </w:r>
      <w:r>
        <w:rPr>
          <w:rFonts w:ascii="Arial" w:cs="Arial" w:eastAsia="Arial" w:hAnsi="Arial"/>
          <w:sz w:val="22"/>
          <w:szCs w:val="22"/>
        </w:rPr>
        <w:t xml:space="preserve">Run the full analysis twice: once with all samples, once excluding samples dominated by known oral/skin taxa. If the core associations (Prevotella–obesity, Escherichia–IBS) hold in both, the results are robust.</w:t>
      </w:r>
    </w:p>
    <w:p>
      <w:pPr>
        <w:pStyle w:val="Heading2"/>
        <w:spacing w:after="120" w:before="240"/>
      </w:pPr>
      <w:r>
        <w:rPr>
          <w:rFonts w:ascii="Arial" w:cs="Arial" w:eastAsia="Arial" w:hAnsi="Arial"/>
          <w:b/>
          <w:bCs/>
          <w:sz w:val="26"/>
          <w:szCs w:val="26"/>
        </w:rPr>
        <w:t xml:space="preserve">Gap 3: Validation Cohort</w:t>
      </w:r>
    </w:p>
    <w:p>
      <w:pPr>
        <w:spacing w:after="120"/>
      </w:pPr>
      <w:r>
        <w:rPr>
          <w:rFonts w:ascii="Arial" w:cs="Arial" w:eastAsia="Arial" w:hAnsi="Arial"/>
          <w:sz w:val="22"/>
          <w:szCs w:val="22"/>
        </w:rPr>
        <w:t xml:space="preserve">The AGP results are from a single citizen-science dataset with self-reported metadata. A validation cohort would substantially strengthen the paper. Candidates:</w:t>
      </w:r>
    </w:p>
    <w:p>
      <w:pPr>
        <w:pStyle w:val="ListParagraph"/>
        <w:numPr>
          <w:ilvl w:val="0"/>
          <w:numId w:val="2"/>
        </w:numPr>
        <w:spacing w:after="60"/>
      </w:pPr>
      <w:r>
        <w:rPr>
          <w:rFonts w:ascii="Arial" w:cs="Arial" w:eastAsia="Arial" w:hAnsi="Arial"/>
          <w:b/>
          <w:bCs/>
          <w:sz w:val="22"/>
          <w:szCs w:val="22"/>
        </w:rPr>
        <w:t xml:space="preserve">HMP2 (iHMP): </w:t>
      </w:r>
      <w:r>
        <w:rPr>
          <w:rFonts w:ascii="Arial" w:cs="Arial" w:eastAsia="Arial" w:hAnsi="Arial"/>
          <w:sz w:val="22"/>
          <w:szCs w:val="22"/>
        </w:rPr>
        <w:t xml:space="preserve">The Integrative Human Microbiome Project includes IBD cohorts with clinical-grade diagnosis. Running the DCST pipeline on HMP2 gut samples and showing that the same DCSTs (e.g., Enterobacteriaceae–IBD) replicate would be compelling.</w:t>
      </w:r>
    </w:p>
    <w:p>
      <w:pPr>
        <w:pStyle w:val="ListParagraph"/>
        <w:numPr>
          <w:ilvl w:val="0"/>
          <w:numId w:val="2"/>
        </w:numPr>
        <w:spacing w:after="60"/>
      </w:pPr>
      <w:r>
        <w:rPr>
          <w:rFonts w:ascii="Arial" w:cs="Arial" w:eastAsia="Arial" w:hAnsi="Arial"/>
          <w:b/>
          <w:bCs/>
          <w:sz w:val="22"/>
          <w:szCs w:val="22"/>
        </w:rPr>
        <w:t xml:space="preserve">COMBO/MetaHIT: </w:t>
      </w:r>
      <w:r>
        <w:rPr>
          <w:rFonts w:ascii="Arial" w:cs="Arial" w:eastAsia="Arial" w:hAnsi="Arial"/>
          <w:sz w:val="22"/>
          <w:szCs w:val="22"/>
        </w:rPr>
        <w:t xml:space="preserve">European cohorts with clinical metadata. Different 16S region (V3–V4) provides a technical cross-validation.</w:t>
      </w:r>
    </w:p>
    <w:p>
      <w:pPr>
        <w:pStyle w:val="ListParagraph"/>
        <w:numPr>
          <w:ilvl w:val="0"/>
          <w:numId w:val="2"/>
        </w:numPr>
        <w:spacing w:after="60"/>
      </w:pPr>
      <w:r>
        <w:rPr>
          <w:rFonts w:ascii="Arial" w:cs="Arial" w:eastAsia="Arial" w:hAnsi="Arial"/>
          <w:b/>
          <w:bCs/>
          <w:sz w:val="22"/>
          <w:szCs w:val="22"/>
        </w:rPr>
        <w:t xml:space="preserve">UK Biobank microbiome pilot: </w:t>
      </w:r>
      <w:r>
        <w:rPr>
          <w:rFonts w:ascii="Arial" w:cs="Arial" w:eastAsia="Arial" w:hAnsi="Arial"/>
          <w:sz w:val="22"/>
          <w:szCs w:val="22"/>
        </w:rPr>
        <w:t xml:space="preserve">If accessible, provides clinically verified disease diagnoses rather than self-report.</w:t>
      </w:r>
    </w:p>
    <w:p>
      <w:pPr>
        <w:spacing w:after="120"/>
      </w:pPr>
      <w:r>
        <w:rPr>
          <w:rFonts w:ascii="Arial" w:cs="Arial" w:eastAsia="Arial" w:hAnsi="Arial"/>
          <w:sz w:val="22"/>
          <w:szCs w:val="22"/>
        </w:rPr>
        <w:t xml:space="preserve">Even one validation cohort showing concordance in 2–3 key DCST–disease associations would be sufficient for a first paper.</w:t>
      </w:r>
    </w:p>
    <w:p>
      <w:pPr>
        <w:pStyle w:val="Heading2"/>
        <w:spacing w:after="120" w:before="240"/>
      </w:pPr>
      <w:r>
        <w:rPr>
          <w:rFonts w:ascii="Arial" w:cs="Arial" w:eastAsia="Arial" w:hAnsi="Arial"/>
          <w:b/>
          <w:bCs/>
          <w:sz w:val="26"/>
          <w:szCs w:val="26"/>
        </w:rPr>
        <w:t xml:space="preserve">Gap 4: Full Use of AGP Sample Size</w:t>
      </w:r>
    </w:p>
    <w:p>
      <w:pPr>
        <w:spacing w:after="120"/>
      </w:pPr>
      <w:r>
        <w:rPr>
          <w:rFonts w:ascii="Arial" w:cs="Arial" w:eastAsia="Arial" w:hAnsi="Arial"/>
          <w:sz w:val="22"/>
          <w:szCs w:val="22"/>
        </w:rPr>
        <w:t xml:space="preserve">The seed analysis used only 5,000 of ~26,900 available gut samples. The full analysis should use all samples passing QC (~25,000). This dramatically increases power for rare DCSTs and low-prevalence conditions (diabetes, kidney disease, ASD) that were underpowered in the 5,000-sample run. It also enables stratified analyses (e.g., DCST–disease associations separately by sex, age group, or BMI category).</w:t>
      </w:r>
    </w:p>
    <w:p>
      <w:pPr>
        <w:pStyle w:val="Heading2"/>
        <w:spacing w:after="120" w:before="240"/>
      </w:pPr>
      <w:r>
        <w:rPr>
          <w:rFonts w:ascii="Arial" w:cs="Arial" w:eastAsia="Arial" w:hAnsi="Arial"/>
          <w:b/>
          <w:bCs/>
          <w:sz w:val="26"/>
          <w:szCs w:val="26"/>
        </w:rPr>
        <w:t xml:space="preserve">Gap 5: Escherichia-Shigella Artifact</w:t>
      </w:r>
    </w:p>
    <w:p>
      <w:pPr>
        <w:spacing w:after="120"/>
      </w:pPr>
      <w:r>
        <w:rPr>
          <w:rFonts w:ascii="Arial" w:cs="Arial" w:eastAsia="Arial" w:hAnsi="Arial"/>
          <w:sz w:val="22"/>
          <w:szCs w:val="22"/>
        </w:rPr>
        <w:t xml:space="preserve">Escherichia-Shigella at 22.7% dominance is the second-largest DCST. This genus is known to be inflated in 16S V4 data due to primer bias and database ambiguity (Escherichia and Shigella are nearly identical at 16S). The paper needs to address this directly. Options: (a) use an alternative taxonomy (GreenGenes2 may resolve this differently), (b) collapse Escherichia-Shigella with Enterobacteriaceae and re-run, (c) acknowledge the limitation and show that the IBS association holds regardless of how the taxon is defined. The GreenGenes2 abundance table from PRIME could serve as a parallel analysis.</w:t>
      </w:r>
    </w:p>
    <w:p>
      <w:pPr>
        <w:pStyle w:val="Heading1"/>
        <w:spacing w:after="120" w:before="240"/>
      </w:pPr>
      <w:r>
        <w:rPr>
          <w:rFonts w:ascii="Arial" w:cs="Arial" w:eastAsia="Arial" w:hAnsi="Arial"/>
          <w:b/>
          <w:bCs/>
          <w:sz w:val="32"/>
          <w:szCs w:val="32"/>
        </w:rPr>
        <w:t xml:space="preserve">Proposed Paper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Figures/Tables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Introduction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Compositional data challenges, clustering-based enterotypes and their limitations, L-infinity normalization and DCSTs, gut dominance as pathology signal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AGP dataset description, DCST pipeline, disease association testing (logistic regression), validation cohort processing</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DCST Landscape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DCST size distribution, dominance strength distribution, depth-2 refinement, comparison to published enterotypes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 1: DCST sizes; Fig 2: dominance strength</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Disease Associations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Adjusted ORs for all DCST×disease pairs, highlight Prevotella–obesity, Entero–IBD, E.coli–IBS. RARE_DOMINANT disease profile.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 3: heatmap; Table 1: top associations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Results: Validation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Replication of key associations in HMP2 or other cohort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Fig 4: concordance; Table 2: replication</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Discussion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DCSTs as clustering-free community typing, biological interpretation of gut dominance, limitations (self-report, 16S resolution, contamination), future directions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t>
            </w:r>
          </w:p>
        </w:tc>
      </w:tr>
    </w:tbl>
    <w:p>
      <w:r>
        <w:br w:type="page"/>
      </w:r>
    </w:p>
    <w:p>
      <w:pPr>
        <w:pStyle w:val="Heading1"/>
        <w:spacing w:after="120" w:before="240"/>
      </w:pPr>
      <w:r>
        <w:rPr>
          <w:rFonts w:ascii="Arial" w:cs="Arial" w:eastAsia="Arial" w:hAnsi="Arial"/>
          <w:b/>
          <w:bCs/>
          <w:sz w:val="32"/>
          <w:szCs w:val="32"/>
        </w:rPr>
        <w:t xml:space="preserve">Analysis Roadmap</w:t>
      </w:r>
    </w:p>
    <w:p>
      <w:pPr>
        <w:pStyle w:val="Heading2"/>
        <w:spacing w:after="120" w:before="240"/>
      </w:pPr>
      <w:r>
        <w:rPr>
          <w:rFonts w:ascii="Arial" w:cs="Arial" w:eastAsia="Arial" w:hAnsi="Arial"/>
          <w:b/>
          <w:bCs/>
          <w:sz w:val="26"/>
          <w:szCs w:val="26"/>
        </w:rPr>
        <w:t xml:space="preserve">Phase 1: Complete the AGP Analysis (1–2 weeks)</w:t>
      </w:r>
    </w:p>
    <w:p>
      <w:pPr>
        <w:pStyle w:val="ListParagraph"/>
        <w:numPr>
          <w:ilvl w:val="0"/>
          <w:numId w:val="2"/>
        </w:numPr>
        <w:spacing w:after="60"/>
      </w:pPr>
      <w:r>
        <w:rPr>
          <w:rFonts w:ascii="Arial" w:cs="Arial" w:eastAsia="Arial" w:hAnsi="Arial"/>
          <w:sz w:val="22"/>
          <w:szCs w:val="22"/>
        </w:rPr>
        <w:t xml:space="preserve">Scale up to full ~25,000-sample AGP gut cohort</w:t>
      </w:r>
    </w:p>
    <w:p>
      <w:pPr>
        <w:pStyle w:val="ListParagraph"/>
        <w:numPr>
          <w:ilvl w:val="0"/>
          <w:numId w:val="2"/>
        </w:numPr>
        <w:spacing w:after="60"/>
      </w:pPr>
      <w:r>
        <w:rPr>
          <w:rFonts w:ascii="Arial" w:cs="Arial" w:eastAsia="Arial" w:hAnsi="Arial"/>
          <w:sz w:val="22"/>
          <w:szCs w:val="22"/>
        </w:rPr>
        <w:t xml:space="preserve">Add logistic regression with covariates (age, sex, BMI, diet, sequencing depth)</w:t>
      </w:r>
    </w:p>
    <w:p>
      <w:pPr>
        <w:pStyle w:val="ListParagraph"/>
        <w:numPr>
          <w:ilvl w:val="0"/>
          <w:numId w:val="2"/>
        </w:numPr>
        <w:spacing w:after="60"/>
      </w:pPr>
      <w:r>
        <w:rPr>
          <w:rFonts w:ascii="Arial" w:cs="Arial" w:eastAsia="Arial" w:hAnsi="Arial"/>
          <w:sz w:val="22"/>
          <w:szCs w:val="22"/>
        </w:rPr>
        <w:t xml:space="preserve">Perform sensitivity analysis excluding oral/skin-dominated samples</w:t>
      </w:r>
    </w:p>
    <w:p>
      <w:pPr>
        <w:pStyle w:val="ListParagraph"/>
        <w:numPr>
          <w:ilvl w:val="0"/>
          <w:numId w:val="2"/>
        </w:numPr>
        <w:spacing w:after="60"/>
      </w:pPr>
      <w:r>
        <w:rPr>
          <w:rFonts w:ascii="Arial" w:cs="Arial" w:eastAsia="Arial" w:hAnsi="Arial"/>
          <w:sz w:val="22"/>
          <w:szCs w:val="22"/>
        </w:rPr>
        <w:t xml:space="preserve">Test both SILVA and GreenGenes2 taxonomies to address Escherichia-Shigella artifact</w:t>
      </w:r>
    </w:p>
    <w:p>
      <w:pPr>
        <w:pStyle w:val="ListParagraph"/>
        <w:numPr>
          <w:ilvl w:val="0"/>
          <w:numId w:val="2"/>
        </w:numPr>
        <w:spacing w:after="60"/>
      </w:pPr>
      <w:r>
        <w:rPr>
          <w:rFonts w:ascii="Arial" w:cs="Arial" w:eastAsia="Arial" w:hAnsi="Arial"/>
          <w:sz w:val="22"/>
          <w:szCs w:val="22"/>
        </w:rPr>
        <w:t xml:space="preserve">Explore depth-2 DCSTs for disease associations (e.g., does Bacteroides__Faecalibacterium differ from Bacteroides__Escherichia-Shigella in disease profile?)</w:t>
      </w:r>
    </w:p>
    <w:p>
      <w:pPr>
        <w:pStyle w:val="Heading2"/>
        <w:spacing w:after="120" w:before="240"/>
      </w:pPr>
      <w:r>
        <w:rPr>
          <w:rFonts w:ascii="Arial" w:cs="Arial" w:eastAsia="Arial" w:hAnsi="Arial"/>
          <w:b/>
          <w:bCs/>
          <w:sz w:val="26"/>
          <w:szCs w:val="26"/>
        </w:rPr>
        <w:t xml:space="preserve">Phase 2: Validation Cohort (2–3 weeks)</w:t>
      </w:r>
    </w:p>
    <w:p>
      <w:pPr>
        <w:pStyle w:val="ListParagraph"/>
        <w:numPr>
          <w:ilvl w:val="0"/>
          <w:numId w:val="2"/>
        </w:numPr>
        <w:spacing w:after="60"/>
      </w:pPr>
      <w:r>
        <w:rPr>
          <w:rFonts w:ascii="Arial" w:cs="Arial" w:eastAsia="Arial" w:hAnsi="Arial"/>
          <w:sz w:val="22"/>
          <w:szCs w:val="22"/>
        </w:rPr>
        <w:t xml:space="preserve">Download and process HMP2 gut samples through PRIME or equivalent pipeline</w:t>
      </w:r>
    </w:p>
    <w:p>
      <w:pPr>
        <w:pStyle w:val="ListParagraph"/>
        <w:numPr>
          <w:ilvl w:val="0"/>
          <w:numId w:val="2"/>
        </w:numPr>
        <w:spacing w:after="60"/>
      </w:pPr>
      <w:r>
        <w:rPr>
          <w:rFonts w:ascii="Arial" w:cs="Arial" w:eastAsia="Arial" w:hAnsi="Arial"/>
          <w:sz w:val="22"/>
          <w:szCs w:val="22"/>
        </w:rPr>
        <w:t xml:space="preserve">Run identical DCST pipeline on validation data</w:t>
      </w:r>
    </w:p>
    <w:p>
      <w:pPr>
        <w:pStyle w:val="ListParagraph"/>
        <w:numPr>
          <w:ilvl w:val="0"/>
          <w:numId w:val="2"/>
        </w:numPr>
        <w:spacing w:after="60"/>
      </w:pPr>
      <w:r>
        <w:rPr>
          <w:rFonts w:ascii="Arial" w:cs="Arial" w:eastAsia="Arial" w:hAnsi="Arial"/>
          <w:sz w:val="22"/>
          <w:szCs w:val="22"/>
        </w:rPr>
        <w:t xml:space="preserve">Test concordance: do the same DCSTs emerge? Do the same disease associations replicate?</w:t>
      </w:r>
    </w:p>
    <w:p>
      <w:pPr>
        <w:pStyle w:val="ListParagraph"/>
        <w:numPr>
          <w:ilvl w:val="0"/>
          <w:numId w:val="2"/>
        </w:numPr>
        <w:spacing w:after="60"/>
      </w:pPr>
      <w:r>
        <w:rPr>
          <w:rFonts w:ascii="Arial" w:cs="Arial" w:eastAsia="Arial" w:hAnsi="Arial"/>
          <w:sz w:val="22"/>
          <w:szCs w:val="22"/>
        </w:rPr>
        <w:t xml:space="preserve">If HMP2 is unavailable, consider MetaHIT or COMBO as alternatives</w:t>
      </w:r>
    </w:p>
    <w:p>
      <w:pPr>
        <w:pStyle w:val="Heading2"/>
        <w:spacing w:after="120" w:before="240"/>
      </w:pPr>
      <w:r>
        <w:rPr>
          <w:rFonts w:ascii="Arial" w:cs="Arial" w:eastAsia="Arial" w:hAnsi="Arial"/>
          <w:b/>
          <w:bCs/>
          <w:sz w:val="26"/>
          <w:szCs w:val="26"/>
        </w:rPr>
        <w:t xml:space="preserve">Phase 3: Writing and Figures (2–3 weeks)</w:t>
      </w:r>
    </w:p>
    <w:p>
      <w:pPr>
        <w:pStyle w:val="ListParagraph"/>
        <w:numPr>
          <w:ilvl w:val="0"/>
          <w:numId w:val="2"/>
        </w:numPr>
        <w:spacing w:after="60"/>
      </w:pPr>
      <w:r>
        <w:rPr>
          <w:rFonts w:ascii="Arial" w:cs="Arial" w:eastAsia="Arial" w:hAnsi="Arial"/>
          <w:sz w:val="22"/>
          <w:szCs w:val="22"/>
        </w:rPr>
        <w:t xml:space="preserve">Draft manuscript following the structure above</w:t>
      </w:r>
    </w:p>
    <w:p>
      <w:pPr>
        <w:pStyle w:val="ListParagraph"/>
        <w:numPr>
          <w:ilvl w:val="0"/>
          <w:numId w:val="2"/>
        </w:numPr>
        <w:spacing w:after="60"/>
      </w:pPr>
      <w:r>
        <w:rPr>
          <w:rFonts w:ascii="Arial" w:cs="Arial" w:eastAsia="Arial" w:hAnsi="Arial"/>
          <w:sz w:val="22"/>
          <w:szCs w:val="22"/>
        </w:rPr>
        <w:t xml:space="preserve">Create publication-quality figures (ggplot2, with consistent color scheme across all panels)</w:t>
      </w:r>
    </w:p>
    <w:p>
      <w:pPr>
        <w:pStyle w:val="ListParagraph"/>
        <w:numPr>
          <w:ilvl w:val="0"/>
          <w:numId w:val="2"/>
        </w:numPr>
        <w:spacing w:after="60"/>
      </w:pPr>
      <w:r>
        <w:rPr>
          <w:rFonts w:ascii="Arial" w:cs="Arial" w:eastAsia="Arial" w:hAnsi="Arial"/>
          <w:sz w:val="22"/>
          <w:szCs w:val="22"/>
        </w:rPr>
        <w:t xml:space="preserve">Write supplementary materials: full DCST×disease table, QC details, sensitivity analyses</w:t>
      </w:r>
    </w:p>
    <w:p>
      <w:pPr>
        <w:pStyle w:val="ListParagraph"/>
        <w:numPr>
          <w:ilvl w:val="0"/>
          <w:numId w:val="2"/>
        </w:numPr>
        <w:spacing w:after="60"/>
      </w:pPr>
      <w:r>
        <w:rPr>
          <w:rFonts w:ascii="Arial" w:cs="Arial" w:eastAsia="Arial" w:hAnsi="Arial"/>
          <w:sz w:val="22"/>
          <w:szCs w:val="22"/>
        </w:rPr>
        <w:t xml:space="preserve">Prepare reproducible analysis scripts as a GitHub repository companion</w:t>
      </w:r>
    </w:p>
    <w:p>
      <w:pPr>
        <w:pStyle w:val="Heading2"/>
        <w:spacing w:after="120" w:before="240"/>
      </w:pPr>
      <w:r>
        <w:rPr>
          <w:rFonts w:ascii="Arial" w:cs="Arial" w:eastAsia="Arial" w:hAnsi="Arial"/>
          <w:b/>
          <w:bCs/>
          <w:sz w:val="26"/>
          <w:szCs w:val="26"/>
        </w:rPr>
        <w:t xml:space="preserve">Phase 4: Review and Submission (1–2 weeks)</w:t>
      </w:r>
    </w:p>
    <w:p>
      <w:pPr>
        <w:pStyle w:val="ListParagraph"/>
        <w:numPr>
          <w:ilvl w:val="0"/>
          <w:numId w:val="2"/>
        </w:numPr>
        <w:spacing w:after="60"/>
      </w:pPr>
      <w:r>
        <w:rPr>
          <w:rFonts w:ascii="Arial" w:cs="Arial" w:eastAsia="Arial" w:hAnsi="Arial"/>
          <w:sz w:val="22"/>
          <w:szCs w:val="22"/>
        </w:rPr>
        <w:t xml:space="preserve">Internal review and revision</w:t>
      </w:r>
    </w:p>
    <w:p>
      <w:pPr>
        <w:pStyle w:val="ListParagraph"/>
        <w:numPr>
          <w:ilvl w:val="0"/>
          <w:numId w:val="2"/>
        </w:numPr>
        <w:spacing w:after="60"/>
      </w:pPr>
      <w:r>
        <w:rPr>
          <w:rFonts w:ascii="Arial" w:cs="Arial" w:eastAsia="Arial" w:hAnsi="Arial"/>
          <w:sz w:val="22"/>
          <w:szCs w:val="22"/>
        </w:rPr>
        <w:t xml:space="preserve">Target journal selection (primary: Microbiome or mSystems; backup: ISME Communications)</w:t>
      </w:r>
    </w:p>
    <w:p>
      <w:pPr>
        <w:pStyle w:val="ListParagraph"/>
        <w:numPr>
          <w:ilvl w:val="0"/>
          <w:numId w:val="2"/>
        </w:numPr>
        <w:spacing w:after="60"/>
      </w:pPr>
      <w:r>
        <w:rPr>
          <w:rFonts w:ascii="Arial" w:cs="Arial" w:eastAsia="Arial" w:hAnsi="Arial"/>
          <w:sz w:val="22"/>
          <w:szCs w:val="22"/>
        </w:rPr>
        <w:t xml:space="preserve">Prepare preprint for bioRxiv concurrent with journal submission</w:t>
      </w:r>
    </w:p>
    <w:p>
      <w:pPr>
        <w:pStyle w:val="Heading1"/>
        <w:spacing w:after="120" w:before="240"/>
      </w:pPr>
      <w:r>
        <w:rPr>
          <w:rFonts w:ascii="Arial" w:cs="Arial" w:eastAsia="Arial" w:hAnsi="Arial"/>
          <w:b/>
          <w:bCs/>
          <w:sz w:val="32"/>
          <w:szCs w:val="32"/>
        </w:rPr>
        <w:t xml:space="preserve">Target Journals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Journal</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Fit</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IF</w:t>
            </w:r>
          </w:p>
        </w:tc>
        <w:tc>
          <w:tcPr>
            <w:tcW w:type="dxa" w:w="234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Microbiome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Excellent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Methods + biology. Publishes enterotype-style papers.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mSystems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Very 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ASM journal, strong computational microbiology audience.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ISME Communications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 access, newer journal, receptive to methods papers.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Genome Biology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Stretch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If validation is very strong and the narrative is compelling.</w:t>
            </w:r>
          </w:p>
        </w:tc>
      </w:tr>
    </w:tbl>
    <w:p>
      <w:pPr>
        <w:spacing w:after="120"/>
      </w:pPr>
      <w:r>
        <w:rPr>
          <w:rFonts w:ascii="Arial" w:cs="Arial" w:eastAsia="Arial" w:hAnsi="Arial"/>
          <w:sz w:val="22"/>
          <w:szCs w:val="22"/>
        </w:rPr>
        <w:t xml:space="preserve"/>
      </w:r>
    </w:p>
    <w:p>
      <w:pPr>
        <w:pStyle w:val="Heading1"/>
        <w:spacing w:after="120" w:before="240"/>
      </w:pPr>
      <w:r>
        <w:rPr>
          <w:rFonts w:ascii="Arial" w:cs="Arial" w:eastAsia="Arial" w:hAnsi="Arial"/>
          <w:b/>
          <w:bCs/>
          <w:sz w:val="32"/>
          <w:szCs w:val="32"/>
        </w:rPr>
        <w:t xml:space="preserve">Risks and Mitigations</w:t>
      </w:r>
    </w:p>
    <w:p>
      <w:pPr>
        <w:spacing w:after="120"/>
      </w:pPr>
      <w:r>
        <w:rPr>
          <w:rFonts w:ascii="Arial" w:cs="Arial" w:eastAsia="Arial" w:hAnsi="Arial"/>
          <w:b/>
          <w:bCs/>
          <w:sz w:val="22"/>
          <w:szCs w:val="22"/>
        </w:rPr>
        <w:t xml:space="preserve">Risk 1: Associations don’t survive covariate adjustment. </w:t>
      </w:r>
      <w:r>
        <w:rPr>
          <w:rFonts w:ascii="Arial" w:cs="Arial" w:eastAsia="Arial" w:hAnsi="Arial"/>
          <w:sz w:val="22"/>
          <w:szCs w:val="22"/>
        </w:rPr>
        <w:t xml:space="preserve">This is the most likely failure mode. Mitigation: even null results after adjustment are publishable if framed correctly (“univariate signal is driven by confounders”). The methodological contribution (DCSTs for gut) stands regardless.</w:t>
      </w:r>
    </w:p>
    <w:p>
      <w:pPr>
        <w:spacing w:after="120"/>
      </w:pPr>
      <w:r>
        <w:rPr>
          <w:rFonts w:ascii="Arial" w:cs="Arial" w:eastAsia="Arial" w:hAnsi="Arial"/>
          <w:b/>
          <w:bCs/>
          <w:sz w:val="22"/>
          <w:szCs w:val="22"/>
        </w:rPr>
        <w:t xml:space="preserve">Risk 2: Validation cohort shows no concordance. </w:t>
      </w:r>
      <w:r>
        <w:rPr>
          <w:rFonts w:ascii="Arial" w:cs="Arial" w:eastAsia="Arial" w:hAnsi="Arial"/>
          <w:sz w:val="22"/>
          <w:szCs w:val="22"/>
        </w:rPr>
        <w:t xml:space="preserve">Possible if technical differences (16S region, primers, bioinformatics pipeline) dominate. Mitigation: use a validation cohort processed through the same PRIME pipeline if possible. If concordance is partial (some DCSTs replicate, others don’t), that’s still interesting and publishable.</w:t>
      </w:r>
    </w:p>
    <w:p>
      <w:pPr>
        <w:spacing w:after="120"/>
      </w:pPr>
      <w:r>
        <w:rPr>
          <w:rFonts w:ascii="Arial" w:cs="Arial" w:eastAsia="Arial" w:hAnsi="Arial"/>
          <w:b/>
          <w:bCs/>
          <w:sz w:val="22"/>
          <w:szCs w:val="22"/>
        </w:rPr>
        <w:t xml:space="preserve">Risk 3: Escherichia-Shigella dominates the story. </w:t>
      </w:r>
      <w:r>
        <w:rPr>
          <w:rFonts w:ascii="Arial" w:cs="Arial" w:eastAsia="Arial" w:hAnsi="Arial"/>
          <w:sz w:val="22"/>
          <w:szCs w:val="22"/>
        </w:rPr>
        <w:t xml:space="preserve">At 22.7%, this taxon’s inflated abundance may overshadow more interesting findings. Mitigation: the GreenGenes2 parallel analysis may resolve the taxonomy. If not, present results with and without Escherichia-Shigella.</w:t>
      </w:r>
    </w:p>
    <w:p>
      <w:pPr>
        <w:spacing w:after="120"/>
      </w:pPr>
      <w:r>
        <w:rPr>
          <w:rFonts w:ascii="Arial" w:cs="Arial" w:eastAsia="Arial" w:hAnsi="Arial"/>
          <w:b/>
          <w:bCs/>
          <w:sz w:val="22"/>
          <w:szCs w:val="22"/>
        </w:rPr>
        <w:t xml:space="preserve">Risk 4: AGP self-report metadata is too noisy. </w:t>
      </w:r>
      <w:r>
        <w:rPr>
          <w:rFonts w:ascii="Arial" w:cs="Arial" w:eastAsia="Arial" w:hAnsi="Arial"/>
          <w:sz w:val="22"/>
          <w:szCs w:val="22"/>
        </w:rPr>
        <w:t xml:space="preserve">Self-reported IBD, IBS, and diabetes have unknown accuracy. Mitigation: the validation cohort (HMP2) has clinical-grade diagnoses. If the AGP signal replicates in clinical data, the self-report noise is acceptable.</w:t>
      </w:r>
    </w:p>
    <w:p>
      <w:pPr>
        <w:pStyle w:val="Heading1"/>
        <w:spacing w:after="120" w:before="240"/>
      </w:pPr>
      <w:r>
        <w:rPr>
          <w:rFonts w:ascii="Arial" w:cs="Arial" w:eastAsia="Arial" w:hAnsi="Arial"/>
          <w:b/>
          <w:bCs/>
          <w:sz w:val="32"/>
          <w:szCs w:val="32"/>
        </w:rPr>
        <w:t xml:space="preserve">Relationship to the Linf Paper</w:t>
      </w:r>
    </w:p>
    <w:p>
      <w:pPr>
        <w:spacing w:after="120"/>
      </w:pPr>
      <w:r>
        <w:rPr>
          <w:rFonts w:ascii="Arial" w:cs="Arial" w:eastAsia="Arial" w:hAnsi="Arial"/>
          <w:sz w:val="22"/>
          <w:szCs w:val="22"/>
        </w:rPr>
        <w:t xml:space="preserve">This paper would be a companion to Gajer &amp; Ravel 2025 (arXiv:2503.21543), which introduces the L-infinity framework and demonstrates it on vaginal microbiome data. The companion paper extends the method to gut, a fundamentally different ecosystem where dominance has opposite biological meaning (pathological rather than healthy). It cites the methods paper for all technical details and focuses on the biological application and disease associations. This division keeps both papers focused: the first on method, the second on application.</w:t>
      </w:r>
    </w:p>
    <w:p>
      <w:pPr>
        <w:spacing w:after="120"/>
      </w:pPr>
      <w:r>
        <w:rPr>
          <w:rFonts w:ascii="Arial" w:cs="Arial" w:eastAsia="Arial" w:hAnsi="Arial"/>
          <w:sz w:val="22"/>
          <w:szCs w:val="22"/>
        </w:rPr>
        <w:t xml:space="preserve">The gut analysis also feeds back into the linf package: the curated AGP subset becomes bundled data, and the disease association workflow becomes a vignette. This creates a virtuous cycle where the package, the methods paper, and the application paper all reinforce each other.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Gut DCST–Disease Paper — Action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471A3"/>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D6D7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2026-03-24T22:51:13.030Z</dcterms:created>
  <dcterms:modified xsi:type="dcterms:W3CDTF">2026-03-24T22:51:13.030Z</dcterms:modified>
</cp:coreProperties>
</file>

<file path=docProps/custom.xml><?xml version="1.0" encoding="utf-8"?>
<Properties xmlns="http://schemas.openxmlformats.org/officeDocument/2006/custom-properties" xmlns:vt="http://schemas.openxmlformats.org/officeDocument/2006/docPropsVTypes"/>
</file>