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widowControl w:val="1"/>
      </w:pPr>
      <w:r>
        <w:drawing>
          <wp:inline xmlns:a="http://schemas.openxmlformats.org/drawingml/2006/main" xmlns:pic="http://schemas.openxmlformats.org/drawingml/2006/picture">
            <wp:extent cx="1024128" cy="1029849"/>
            <wp:docPr id="1" name="Picture 1"/>
            <wp:cNvGraphicFramePr>
              <a:graphicFrameLocks noChangeAspect="1"/>
            </wp:cNvGraphicFramePr>
            <a:graphic>
              <a:graphicData uri="http://schemas.openxmlformats.org/drawingml/2006/picture">
                <pic:pic>
                  <pic:nvPicPr>
                    <pic:cNvPr id="0" name="f2-img-000.png"/>
                    <pic:cNvPicPr/>
                  </pic:nvPicPr>
                  <pic:blipFill>
                    <a:blip r:embed="rId11"/>
                    <a:stretch>
                      <a:fillRect/>
                    </a:stretch>
                  </pic:blipFill>
                  <pic:spPr>
                    <a:xfrm>
                      <a:off x="0" y="0"/>
                      <a:ext cx="1024128" cy="1029849"/>
                    </a:xfrm>
                    <a:prstGeom prst="rect"/>
                  </pic:spPr>
                </pic:pic>
              </a:graphicData>
            </a:graphic>
          </wp:inline>
        </w:drawing>
      </w:r>
    </w:p>
    <w:p>
      <w:pPr>
        <w:jc w:val="center"/>
        <w:widowControl w:val="1"/>
      </w:pPr>
      <w:r>
        <w:rPr>
          <w:rFonts w:ascii="Arial" w:hAnsi="Arial"/>
          <w:b/>
          <w:i w:val="0"/>
          <w:color w:val="000000"/>
          <w:sz w:val="36"/>
        </w:rPr>
        <w:t>Universidad Don Bosco</w:t>
      </w:r>
    </w:p>
    <w:p>
      <w:pPr>
        <w:jc w:val="center"/>
        <w:widowControl w:val="1"/>
      </w:pPr>
      <w:r>
        <w:rPr>
          <w:rFonts w:ascii="Arial" w:hAnsi="Arial"/>
          <w:b/>
          <w:i w:val="0"/>
          <w:color w:val="000000"/>
          <w:sz w:val="22"/>
        </w:rPr>
        <w:t>Facultad de Estudios de Postgrados — Asignatura: Data Warehouse y Minería de Datos</w:t>
      </w:r>
    </w:p>
    <w:p>
      <w:pPr>
        <w:widowControl w:val="1"/>
      </w:pPr>
    </w:p>
    <w:p>
      <w:pPr>
        <w:pStyle w:val="Title"/>
        <w:jc w:val="center"/>
        <w:widowControl w:val="1"/>
      </w:pPr>
      <w:r>
        <w:rPr>
          <w:rFonts w:ascii="Arial" w:hAnsi="Arial"/>
          <w:b/>
          <w:i w:val="0"/>
          <w:color w:val="000000"/>
          <w:sz w:val="44"/>
        </w:rPr>
        <w:t>Memoria técnica consolidada de Fase 3</w:t>
      </w:r>
    </w:p>
    <w:p>
      <w:pPr>
        <w:pStyle w:val="Subtitle"/>
        <w:jc w:val="center"/>
        <w:widowControl w:val="1"/>
      </w:pPr>
      <w:r>
        <w:rPr>
          <w:rFonts w:ascii="Arial" w:hAnsi="Arial"/>
          <w:b w:val="0"/>
          <w:i w:val="0"/>
          <w:color w:val="4A5560"/>
          <w:sz w:val="26"/>
        </w:rPr>
        <w:t>Inteligencia de Negocios y defensa final de NYC311</w:t>
      </w:r>
    </w:p>
    <w:p>
      <w:pPr>
        <w:jc w:val="center"/>
        <w:widowControl w:val="1"/>
      </w:pPr>
      <w:r>
        <w:rPr>
          <w:rFonts w:ascii="Arial" w:hAnsi="Arial"/>
          <w:b/>
          <w:i w:val="0"/>
          <w:color w:val="000000"/>
          <w:sz w:val="23"/>
        </w:rPr>
        <w:t>Solución integral de Data Warehouse, Minería de Datos y Power BI</w:t>
      </w:r>
    </w:p>
    <w:p>
      <w:pPr>
        <w:widowControl w:val="1"/>
      </w:pPr>
    </w:p>
    <w:p>
      <w:pPr>
        <w:jc w:val="center"/>
        <w:widowControl w:val="1"/>
      </w:pPr>
      <w:r>
        <w:rPr>
          <w:rFonts w:ascii="Arial" w:hAnsi="Arial"/>
          <w:b/>
          <w:i w:val="0"/>
          <w:color w:val="000000"/>
          <w:sz w:val="21"/>
        </w:rPr>
        <w:t>Integrantes del equipo</w:t>
      </w:r>
    </w:p>
    <w:tbl>
      <w:tblPr>
        <w:tblW w:type="auto" w:w="0"/>
        <w:jc w:val="center"/>
        <w:tblLayout w:type="autofit"/>
        <w:tblLook w:firstColumn="1" w:firstRow="1" w:lastColumn="0" w:lastRow="0" w:noHBand="0" w:noVBand="1" w:val="04A0"/>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Pr>
      <w:tblGrid>
        <w:gridCol w:w="5083"/>
        <w:gridCol w:w="5083"/>
      </w:tblGrid>
      <w:tr>
        <w:trPr>
          <w:tblHeader w:val="true"/>
        </w:trPr>
        <w:tc>
          <w:tcPr>
            <w:tcW w:type="dxa" w:w="7200"/>
            <w:vAlign w:val="center"/>
            <w:tcMar>
              <w:top w:w="90" w:type="dxa"/>
              <w:start w:w="110" w:type="dxa"/>
              <w:bottom w:w="90" w:type="dxa"/>
              <w:end w:w="110" w:type="dxa"/>
            </w:tcMar>
            <w:shd w:fill="1F5D78" w:val="clear"/>
          </w:tcPr>
          <w:p>
            <w:pPr>
              <w:spacing w:after="0" w:line="252" w:lineRule="auto"/>
            </w:pPr>
            <w:r/>
            <w:r>
              <w:rPr>
                <w:rFonts w:ascii="Arial" w:hAnsi="Arial"/>
                <w:b/>
                <w:color w:val="FFFFFF"/>
                <w:sz w:val="17"/>
              </w:rPr>
              <w:t>Nombre</w:t>
            </w:r>
          </w:p>
        </w:tc>
        <w:tc>
          <w:tcPr>
            <w:tcW w:type="dxa" w:w="3528"/>
            <w:vAlign w:val="center"/>
            <w:tcMar>
              <w:top w:w="90" w:type="dxa"/>
              <w:start w:w="110" w:type="dxa"/>
              <w:bottom w:w="90" w:type="dxa"/>
              <w:end w:w="110" w:type="dxa"/>
            </w:tcMar>
            <w:shd w:fill="1F5D78" w:val="clear"/>
          </w:tcPr>
          <w:p>
            <w:pPr>
              <w:spacing w:after="0" w:line="252" w:lineRule="auto"/>
            </w:pPr>
            <w:r/>
            <w:r>
              <w:rPr>
                <w:rFonts w:ascii="Arial" w:hAnsi="Arial"/>
                <w:b/>
                <w:color w:val="FFFFFF"/>
                <w:sz w:val="17"/>
              </w:rPr>
              <w:t>Carnet</w:t>
            </w:r>
          </w:p>
        </w:tc>
      </w:tr>
      <w:tr>
        <w:tc>
          <w:tcPr>
            <w:tcW w:type="dxa" w:w="7200"/>
            <w:vAlign w:val="center"/>
            <w:tcMar>
              <w:top w:w="90" w:type="dxa"/>
              <w:start w:w="110" w:type="dxa"/>
              <w:bottom w:w="90" w:type="dxa"/>
              <w:end w:w="110" w:type="dxa"/>
            </w:tcMar>
          </w:tcPr>
          <w:p>
            <w:pPr>
              <w:spacing w:after="0" w:line="252" w:lineRule="auto"/>
            </w:pPr>
            <w:r/>
            <w:r>
              <w:rPr>
                <w:rFonts w:ascii="Arial" w:hAnsi="Arial"/>
                <w:b w:val="0"/>
                <w:color w:val="000000"/>
                <w:sz w:val="17"/>
              </w:rPr>
              <w:t>Lemus Mejía, Fernando José</w:t>
            </w:r>
          </w:p>
        </w:tc>
        <w:tc>
          <w:tcPr>
            <w:tcW w:type="dxa" w:w="3528"/>
            <w:vAlign w:val="center"/>
            <w:tcMar>
              <w:top w:w="90" w:type="dxa"/>
              <w:start w:w="110" w:type="dxa"/>
              <w:bottom w:w="90" w:type="dxa"/>
              <w:end w:w="110" w:type="dxa"/>
            </w:tcMar>
          </w:tcPr>
          <w:p>
            <w:pPr>
              <w:spacing w:after="0" w:line="252" w:lineRule="auto"/>
            </w:pPr>
            <w:r/>
            <w:r>
              <w:rPr>
                <w:rFonts w:ascii="Arial" w:hAnsi="Arial"/>
                <w:b w:val="0"/>
                <w:color w:val="000000"/>
                <w:sz w:val="17"/>
              </w:rPr>
              <w:t>LM212528</w:t>
            </w:r>
          </w:p>
        </w:tc>
      </w:tr>
      <w:tr>
        <w:tc>
          <w:tcPr>
            <w:tcW w:type="dxa" w:w="720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7"/>
              </w:rPr>
              <w:t>Bonilla Saz, Gerardo Rafael</w:t>
            </w:r>
          </w:p>
        </w:tc>
        <w:tc>
          <w:tcPr>
            <w:tcW w:type="dxa" w:w="3528"/>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7"/>
              </w:rPr>
              <w:t>BS242634</w:t>
            </w:r>
          </w:p>
        </w:tc>
      </w:tr>
      <w:tr>
        <w:tc>
          <w:tcPr>
            <w:tcW w:type="dxa" w:w="7200"/>
            <w:vAlign w:val="center"/>
            <w:tcMar>
              <w:top w:w="90" w:type="dxa"/>
              <w:start w:w="110" w:type="dxa"/>
              <w:bottom w:w="90" w:type="dxa"/>
              <w:end w:w="110" w:type="dxa"/>
            </w:tcMar>
          </w:tcPr>
          <w:p>
            <w:pPr>
              <w:spacing w:after="0" w:line="252" w:lineRule="auto"/>
            </w:pPr>
            <w:r/>
            <w:r>
              <w:rPr>
                <w:rFonts w:ascii="Arial" w:hAnsi="Arial"/>
                <w:b w:val="0"/>
                <w:color w:val="000000"/>
                <w:sz w:val="17"/>
              </w:rPr>
              <w:t>Chávez Castillo, Edson Enrique</w:t>
            </w:r>
          </w:p>
        </w:tc>
        <w:tc>
          <w:tcPr>
            <w:tcW w:type="dxa" w:w="3528"/>
            <w:vAlign w:val="center"/>
            <w:tcMar>
              <w:top w:w="90" w:type="dxa"/>
              <w:start w:w="110" w:type="dxa"/>
              <w:bottom w:w="90" w:type="dxa"/>
              <w:end w:w="110" w:type="dxa"/>
            </w:tcMar>
          </w:tcPr>
          <w:p>
            <w:pPr>
              <w:spacing w:after="0" w:line="252" w:lineRule="auto"/>
            </w:pPr>
            <w:r/>
            <w:r>
              <w:rPr>
                <w:rFonts w:ascii="Arial" w:hAnsi="Arial"/>
                <w:b w:val="0"/>
                <w:color w:val="000000"/>
                <w:sz w:val="17"/>
              </w:rPr>
              <w:t>CC242635</w:t>
            </w:r>
          </w:p>
        </w:tc>
      </w:tr>
      <w:tr>
        <w:tc>
          <w:tcPr>
            <w:tcW w:type="dxa" w:w="720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7"/>
              </w:rPr>
              <w:t>López Ortiz, César Giovanni</w:t>
            </w:r>
          </w:p>
        </w:tc>
        <w:tc>
          <w:tcPr>
            <w:tcW w:type="dxa" w:w="3528"/>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7"/>
              </w:rPr>
              <w:t>LO232756</w:t>
            </w:r>
          </w:p>
        </w:tc>
      </w:tr>
      <w:tr>
        <w:tc>
          <w:tcPr>
            <w:tcW w:type="dxa" w:w="7200"/>
            <w:vAlign w:val="center"/>
            <w:tcMar>
              <w:top w:w="90" w:type="dxa"/>
              <w:start w:w="110" w:type="dxa"/>
              <w:bottom w:w="90" w:type="dxa"/>
              <w:end w:w="110" w:type="dxa"/>
            </w:tcMar>
          </w:tcPr>
          <w:p>
            <w:pPr>
              <w:spacing w:after="0" w:line="252" w:lineRule="auto"/>
            </w:pPr>
            <w:r/>
            <w:r>
              <w:rPr>
                <w:rFonts w:ascii="Arial" w:hAnsi="Arial"/>
                <w:b w:val="0"/>
                <w:color w:val="000000"/>
                <w:sz w:val="17"/>
              </w:rPr>
              <w:t>Galdámez Soto, Juan José</w:t>
            </w:r>
          </w:p>
        </w:tc>
        <w:tc>
          <w:tcPr>
            <w:tcW w:type="dxa" w:w="3528"/>
            <w:vAlign w:val="center"/>
            <w:tcMar>
              <w:top w:w="90" w:type="dxa"/>
              <w:start w:w="110" w:type="dxa"/>
              <w:bottom w:w="90" w:type="dxa"/>
              <w:end w:w="110" w:type="dxa"/>
            </w:tcMar>
          </w:tcPr>
          <w:p>
            <w:pPr>
              <w:spacing w:after="0" w:line="252" w:lineRule="auto"/>
            </w:pPr>
            <w:r/>
            <w:r>
              <w:rPr>
                <w:rFonts w:ascii="Arial" w:hAnsi="Arial"/>
                <w:b w:val="0"/>
                <w:color w:val="000000"/>
                <w:sz w:val="17"/>
              </w:rPr>
              <w:t>GS242646</w:t>
            </w:r>
          </w:p>
        </w:tc>
      </w:tr>
    </w:tbl>
    <w:p>
      <w:pPr>
        <w:spacing w:after="20"/>
        <w:widowControl w:val="1"/>
      </w:pPr>
    </w:p>
    <w:p>
      <w:pPr>
        <w:jc w:val="center"/>
        <w:widowControl w:val="1"/>
      </w:pPr>
      <w:r>
        <w:rPr>
          <w:rFonts w:ascii="Arial" w:hAnsi="Arial"/>
          <w:b w:val="0"/>
          <w:i w:val="0"/>
          <w:color w:val="4A5560"/>
          <w:sz w:val="19"/>
        </w:rPr>
        <w:t>NYC311 | BI: enero y abril–julio de 2026 | F2 original: abril–julio de 2026 | Entrega oficial: 02-07 de noviembre de 2026</w:t>
      </w:r>
    </w:p>
    <w:p>
      <w:pPr>
        <w:jc w:val="center"/>
        <w:widowControl w:val="1"/>
      </w:pPr>
      <w:r>
        <w:rPr>
          <w:rFonts w:ascii="Arial" w:hAnsi="Arial"/>
          <w:b w:val="0"/>
          <w:i w:val="0"/>
          <w:color w:val="4A5560"/>
          <w:sz w:val="19"/>
        </w:rPr>
        <w:t>Soyapango, San Salvador, El Salvador — Octubre de 2026</w:t>
      </w:r>
    </w:p>
    <w:p>
      <w:pPr>
        <w:widowControl w:val="1"/>
      </w:pPr>
    </w:p>
    <w:p>
      <w:pPr>
        <w:jc w:val="center"/>
        <w:widowControl w:val="1"/>
      </w:pPr>
      <w:r>
        <w:rPr>
          <w:rFonts w:ascii="Arial" w:hAnsi="Arial"/>
          <w:b w:val="0"/>
          <w:i/>
          <w:color w:val="4A5560"/>
          <w:sz w:val="17"/>
        </w:rPr>
        <w:t>Nota de integridad: Esta memoria integra la evidencia comprobada de Fase 1 (DW y ETL), Fase 2 (KDD y Minería) y Fase 3 (Power BI y Costos), distinguiendo resultados observados de supuestos modelados.</w:t>
      </w:r>
    </w:p>
    <w:p>
      <w:pPr>
        <w:widowControl w:val="1"/>
      </w:pPr>
      <w:r>
        <w:br w:type="page"/>
      </w:r>
    </w:p>
    <w:p>
      <w:pPr>
        <w:pStyle w:val="Heading1"/>
        <w:widowControl w:val="1"/>
      </w:pPr>
      <w:r>
        <w:t>Contenido de la memoria</w:t>
      </w:r>
    </w:p>
    <w:p>
      <w:pPr>
        <w:pStyle w:val="ListBullet"/>
        <w:spacing w:after="60"/>
        <w:widowControl w:val="1"/>
      </w:pPr>
      <w:r>
        <w:rPr>
          <w:rFonts w:ascii="Arial" w:hAnsi="Arial"/>
          <w:b w:val="0"/>
          <w:i w:val="0"/>
          <w:color w:val="000000"/>
          <w:sz w:val="19"/>
        </w:rPr>
        <w:t>1. Resumen ejecutivo</w:t>
      </w:r>
    </w:p>
    <w:p>
      <w:pPr>
        <w:pStyle w:val="ListBullet"/>
        <w:spacing w:after="60"/>
        <w:widowControl w:val="1"/>
      </w:pPr>
      <w:r>
        <w:rPr>
          <w:rFonts w:ascii="Arial" w:hAnsi="Arial"/>
          <w:b w:val="0"/>
          <w:i w:val="0"/>
          <w:color w:val="000000"/>
          <w:sz w:val="19"/>
        </w:rPr>
        <w:t>2. Requisitos de la Fase 3 y criterio de cumplimiento</w:t>
      </w:r>
    </w:p>
    <w:p>
      <w:pPr>
        <w:pStyle w:val="ListBullet"/>
        <w:spacing w:after="60"/>
        <w:widowControl w:val="1"/>
      </w:pPr>
      <w:r>
        <w:rPr>
          <w:rFonts w:ascii="Arial" w:hAnsi="Arial"/>
          <w:b w:val="0"/>
          <w:i w:val="0"/>
          <w:color w:val="000000"/>
          <w:sz w:val="19"/>
        </w:rPr>
        <w:t>3. Problema de negocio y alcance analítico</w:t>
      </w:r>
    </w:p>
    <w:p>
      <w:pPr>
        <w:pStyle w:val="ListBullet"/>
        <w:spacing w:after="60"/>
        <w:widowControl w:val="1"/>
      </w:pPr>
      <w:r>
        <w:rPr>
          <w:rFonts w:ascii="Arial" w:hAnsi="Arial"/>
          <w:b w:val="0"/>
          <w:i w:val="0"/>
          <w:color w:val="000000"/>
          <w:sz w:val="19"/>
        </w:rPr>
        <w:t>4. Arquitectura y linaje de datos</w:t>
      </w:r>
    </w:p>
    <w:p>
      <w:pPr>
        <w:pStyle w:val="ListBullet"/>
        <w:spacing w:after="60"/>
        <w:widowControl w:val="1"/>
      </w:pPr>
      <w:r>
        <w:rPr>
          <w:rFonts w:ascii="Arial" w:hAnsi="Arial"/>
          <w:b w:val="0"/>
          <w:i w:val="0"/>
          <w:color w:val="000000"/>
          <w:sz w:val="19"/>
        </w:rPr>
        <w:t>5. Evidencia de la Fase 1: Data Warehouse y ETL</w:t>
      </w:r>
    </w:p>
    <w:p>
      <w:pPr>
        <w:pStyle w:val="ListBullet"/>
        <w:spacing w:after="60"/>
        <w:widowControl w:val="1"/>
      </w:pPr>
      <w:r>
        <w:rPr>
          <w:rFonts w:ascii="Arial" w:hAnsi="Arial"/>
          <w:b w:val="0"/>
          <w:i w:val="0"/>
          <w:color w:val="000000"/>
          <w:sz w:val="19"/>
        </w:rPr>
        <w:t>6. Evidencia de la Fase 2: Minería de Datos (Árbol y K-Means)</w:t>
      </w:r>
    </w:p>
    <w:p>
      <w:pPr>
        <w:pStyle w:val="ListBullet"/>
        <w:spacing w:after="60"/>
        <w:widowControl w:val="1"/>
      </w:pPr>
      <w:r>
        <w:rPr>
          <w:rFonts w:ascii="Arial" w:hAnsi="Arial"/>
          <w:b w:val="0"/>
          <w:i w:val="0"/>
          <w:color w:val="000000"/>
          <w:sz w:val="19"/>
        </w:rPr>
        <w:t>7. Diseño del dashboard interactivo Power BI</w:t>
      </w:r>
    </w:p>
    <w:p>
      <w:pPr>
        <w:pStyle w:val="ListBullet"/>
        <w:spacing w:after="60"/>
        <w:widowControl w:val="1"/>
      </w:pPr>
      <w:r>
        <w:rPr>
          <w:rFonts w:ascii="Arial" w:hAnsi="Arial"/>
          <w:b w:val="0"/>
          <w:i w:val="0"/>
          <w:color w:val="000000"/>
          <w:sz w:val="19"/>
        </w:rPr>
        <w:t>8. Costos, viabilidad y modelo de retorno operativo (ROI)</w:t>
      </w:r>
    </w:p>
    <w:p>
      <w:pPr>
        <w:pStyle w:val="ListBullet"/>
        <w:spacing w:after="60"/>
        <w:widowControl w:val="1"/>
      </w:pPr>
      <w:r>
        <w:rPr>
          <w:rFonts w:ascii="Arial" w:hAnsi="Arial"/>
          <w:b w:val="0"/>
          <w:i w:val="0"/>
          <w:color w:val="000000"/>
          <w:sz w:val="19"/>
        </w:rPr>
        <w:t>9. Plan de defensa oral y sustentación teórica</w:t>
      </w:r>
    </w:p>
    <w:p>
      <w:pPr>
        <w:pStyle w:val="ListBullet"/>
        <w:spacing w:after="60"/>
        <w:widowControl w:val="1"/>
      </w:pPr>
      <w:r>
        <w:rPr>
          <w:rFonts w:ascii="Arial" w:hAnsi="Arial"/>
          <w:b w:val="0"/>
          <w:i w:val="0"/>
          <w:color w:val="000000"/>
          <w:sz w:val="19"/>
        </w:rPr>
        <w:t>10. Riesgos, límites y control de sesgos</w:t>
      </w:r>
    </w:p>
    <w:p>
      <w:pPr>
        <w:pStyle w:val="ListBullet"/>
        <w:spacing w:after="60"/>
        <w:widowControl w:val="1"/>
      </w:pPr>
      <w:r>
        <w:rPr>
          <w:rFonts w:ascii="Arial" w:hAnsi="Arial"/>
          <w:b w:val="0"/>
          <w:i w:val="0"/>
          <w:color w:val="000000"/>
          <w:sz w:val="19"/>
        </w:rPr>
        <w:t>11. Conclusiones y recomendaciones de valor público</w:t>
      </w:r>
    </w:p>
    <w:p>
      <w:pPr>
        <w:pStyle w:val="ListBullet"/>
        <w:spacing w:after="60"/>
        <w:widowControl w:val="1"/>
      </w:pPr>
      <w:r>
        <w:rPr>
          <w:rFonts w:ascii="Arial" w:hAnsi="Arial"/>
          <w:b w:val="0"/>
          <w:i w:val="0"/>
          <w:color w:val="000000"/>
          <w:sz w:val="19"/>
        </w:rPr>
        <w:t>12. Fuentes y anexos de reproducibilidad</w:t>
      </w:r>
    </w:p>
    <w:p>
      <w:pPr>
        <w:pStyle w:val="Heading1"/>
        <w:widowControl w:val="1"/>
      </w:pPr>
      <w:r>
        <w:t>1 Resumen ejecutivo</w:t>
      </w:r>
    </w:p>
    <w:p>
      <w:pPr>
        <w:widowControl w:val="1"/>
      </w:pPr>
      <w:r>
        <w:rPr>
          <w:rFonts w:ascii="Arial" w:hAnsi="Arial"/>
          <w:b w:val="0"/>
          <w:i w:val="0"/>
          <w:color w:val="000000"/>
          <w:sz w:val="20"/>
        </w:rPr>
        <w:t>La Fase 3 convierte la infraestructura analítica y los modelos predictivos y descriptivos construidos en las fases previas en una solución de Inteligencia de Negocios de alto impacto para la gestión de NYC311. La premisa docente exige un dashboard interactivo conectado al DW, una memoria técnica consolidada con análisis financiero de costos y ROI estimado, y una defensa oral de máximo 25 minutos con demostración en vivo de ETL, modelo, minería y dashboard.</w:t>
      </w:r>
    </w:p>
    <w:p>
      <w:pPr>
        <w:widowControl w:val="1"/>
      </w:pPr>
      <w:r>
        <w:rPr>
          <w:rFonts w:ascii="Arial" w:hAnsi="Arial"/>
          <w:b w:val="0"/>
          <w:i w:val="0"/>
          <w:color w:val="000000"/>
          <w:sz w:val="20"/>
        </w:rPr>
        <w:t>La base analítica actual del DW integra 1,312,465 solicitudes disponibles entre enero y julio de 2026, con registros en enero y abril–julio. La tabla de hechos dw.FactSolicitud mantiene estrictamente el grano de una fila por solicitud, identificada por codigo_solicitud único. La vista de minería preserva 63,467 solicitudes sin duración observada como NULL para evitar sesgos de imputación artificial.</w:t>
      </w:r>
    </w:p>
    <w:p>
      <w:pPr>
        <w:widowControl w:val="1"/>
      </w:pPr>
      <w:r>
        <w:rPr>
          <w:rFonts w:ascii="Arial" w:hAnsi="Arial"/>
          <w:b w:val="0"/>
          <w:i w:val="0"/>
          <w:color w:val="000000"/>
          <w:sz w:val="20"/>
        </w:rPr>
        <w:t>El experimento F2 original reportó un Árbol de Clasificación CART optimizado (Recall 95.15%, F1 78.37%, ROC-AUC 0.952 en prueba) sobre la ventana abril–julio y un K-Means de 480 perfiles. Para integrar el rango actual del DW en Fase 3 se reejecutó el mismo pipeline con K=3, obteniendo 481 perfiles y Silhouette documentada por el notebook; Power BI conserva 1,298,155 solicitudes segmentadas y 14,310 como Sin perfil K-Means.</w:t>
      </w:r>
    </w:p>
    <w:p>
      <w:pPr>
        <w:widowControl w:val="1"/>
      </w:pPr>
      <w:r>
        <w:rPr>
          <w:rFonts w:ascii="Arial" w:hAnsi="Arial"/>
          <w:b w:val="0"/>
          <w:i w:val="0"/>
          <w:color w:val="000000"/>
          <w:sz w:val="20"/>
        </w:rPr>
        <w:t>Para la Fase 3, se implementó la tabla bi.PerfilCluster y la vista bi.vw_solicitudes_segmentadas mediante un LEFT JOIN nulo-seguro en SQL Server. El reporte Power BI fue diseñado bajo estándares PBIR/TMDL con 3 páginas ejecutivas: Panorama ciudadano (con mapa geoespacial y segmentador de clústeres), Dónde concentrar capacidad (diagnóstico de agencias y canales) y Segmentación y valor operativo (análisis de perfiles y contexto del árbol). El análisis de viabilidad modela un costo total a 3 años de 17,120 USD frente a beneficios operativos esperados de 44,928 USD, arrojando un ROI base de 162.4% con punto de equilibrio al mes 14.</w:t>
      </w:r>
    </w:p>
    <w:tbl>
      <w:tblPr>
        <w:tblW w:type="auto" w:w="0"/>
        <w:jc w:val="center"/>
        <w:tblLayout w:type="autofit"/>
        <w:tblLook w:firstColumn="1" w:firstRow="1" w:lastColumn="0" w:lastRow="0" w:noHBand="0" w:noVBand="1" w:val="04A0"/>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Pr>
      <w:tblGrid>
        <w:gridCol w:w="5083"/>
        <w:gridCol w:w="5083"/>
      </w:tblGrid>
      <w:tr>
        <w:trPr>
          <w:tblHeader w:val="true"/>
        </w:trPr>
        <w:tc>
          <w:tcPr>
            <w:tcW w:type="dxa" w:w="4464"/>
            <w:vAlign w:val="center"/>
            <w:tcMar>
              <w:top w:w="90" w:type="dxa"/>
              <w:start w:w="110" w:type="dxa"/>
              <w:bottom w:w="90" w:type="dxa"/>
              <w:end w:w="110" w:type="dxa"/>
            </w:tcMar>
            <w:shd w:fill="1F5D78" w:val="clear"/>
          </w:tcPr>
          <w:p>
            <w:pPr>
              <w:spacing w:after="0" w:line="252" w:lineRule="auto"/>
            </w:pPr>
            <w:r/>
            <w:r>
              <w:rPr>
                <w:rFonts w:ascii="Arial" w:hAnsi="Arial"/>
                <w:b/>
                <w:color w:val="FFFFFF"/>
                <w:sz w:val="17"/>
              </w:rPr>
              <w:t>Hallazgo comprobado</w:t>
            </w:r>
          </w:p>
        </w:tc>
        <w:tc>
          <w:tcPr>
            <w:tcW w:type="dxa" w:w="6264"/>
            <w:vAlign w:val="center"/>
            <w:tcMar>
              <w:top w:w="90" w:type="dxa"/>
              <w:start w:w="110" w:type="dxa"/>
              <w:bottom w:w="90" w:type="dxa"/>
              <w:end w:w="110" w:type="dxa"/>
            </w:tcMar>
            <w:shd w:fill="1F5D78" w:val="clear"/>
          </w:tcPr>
          <w:p>
            <w:pPr>
              <w:spacing w:after="0" w:line="252" w:lineRule="auto"/>
            </w:pPr>
            <w:r/>
            <w:r>
              <w:rPr>
                <w:rFonts w:ascii="Arial" w:hAnsi="Arial"/>
                <w:b/>
                <w:color w:val="FFFFFF"/>
                <w:sz w:val="17"/>
              </w:rPr>
              <w:t>Implicación para la Fase 3</w:t>
            </w:r>
          </w:p>
        </w:tc>
      </w:tr>
      <w:tr>
        <w:tc>
          <w:tcPr>
            <w:tcW w:type="dxa" w:w="4464"/>
            <w:vAlign w:val="center"/>
            <w:tcMar>
              <w:top w:w="90" w:type="dxa"/>
              <w:start w:w="110" w:type="dxa"/>
              <w:bottom w:w="90" w:type="dxa"/>
              <w:end w:w="110" w:type="dxa"/>
            </w:tcMar>
          </w:tcPr>
          <w:p>
            <w:pPr>
              <w:spacing w:after="0" w:line="252" w:lineRule="auto"/>
            </w:pPr>
            <w:r/>
            <w:r>
              <w:rPr>
                <w:rFonts w:ascii="Arial" w:hAnsi="Arial"/>
                <w:b w:val="0"/>
                <w:color w:val="000000"/>
                <w:sz w:val="17"/>
              </w:rPr>
              <w:t>1,312,465 filas únicas en DW y Minería</w:t>
            </w:r>
          </w:p>
        </w:tc>
        <w:tc>
          <w:tcPr>
            <w:tcW w:type="dxa" w:w="6264"/>
            <w:vAlign w:val="center"/>
            <w:tcMar>
              <w:top w:w="90" w:type="dxa"/>
              <w:start w:w="110" w:type="dxa"/>
              <w:bottom w:w="90" w:type="dxa"/>
              <w:end w:w="110" w:type="dxa"/>
            </w:tcMar>
          </w:tcPr>
          <w:p>
            <w:pPr>
              <w:spacing w:after="0" w:line="252" w:lineRule="auto"/>
            </w:pPr>
            <w:r/>
            <w:r>
              <w:rPr>
                <w:rFonts w:ascii="Arial" w:hAnsi="Arial"/>
                <w:b w:val="0"/>
                <w:color w:val="000000"/>
                <w:sz w:val="17"/>
              </w:rPr>
              <w:t>Control estricto de cardinalidad: la unión relacional en BI no multiplica ni pierde solicitudes.</w:t>
            </w:r>
          </w:p>
        </w:tc>
      </w:tr>
      <w:tr>
        <w:tc>
          <w:tcPr>
            <w:tcW w:type="dxa" w:w="446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7"/>
              </w:rPr>
              <w:t>63,467 solicitudes sin duración observada</w:t>
            </w:r>
          </w:p>
        </w:tc>
        <w:tc>
          <w:tcPr>
            <w:tcW w:type="dxa" w:w="626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7"/>
              </w:rPr>
              <w:t>Se reportan como casos sin clasificar; la medida DAX de demora alta excluye estos nulos del denominador.</w:t>
            </w:r>
          </w:p>
        </w:tc>
      </w:tr>
      <w:tr>
        <w:tc>
          <w:tcPr>
            <w:tcW w:type="dxa" w:w="4464"/>
            <w:vAlign w:val="center"/>
            <w:tcMar>
              <w:top w:w="90" w:type="dxa"/>
              <w:start w:w="110" w:type="dxa"/>
              <w:bottom w:w="90" w:type="dxa"/>
              <w:end w:w="110" w:type="dxa"/>
            </w:tcMar>
          </w:tcPr>
          <w:p>
            <w:pPr>
              <w:spacing w:after="0" w:line="252" w:lineRule="auto"/>
            </w:pPr>
            <w:r/>
            <w:r>
              <w:rPr>
                <w:rFonts w:ascii="Arial" w:hAnsi="Arial"/>
                <w:b w:val="0"/>
                <w:color w:val="000000"/>
                <w:sz w:val="17"/>
              </w:rPr>
              <w:t>P75 igual a 4,329 minutos (~72.2 h)</w:t>
            </w:r>
          </w:p>
        </w:tc>
        <w:tc>
          <w:tcPr>
            <w:tcW w:type="dxa" w:w="6264"/>
            <w:vAlign w:val="center"/>
            <w:tcMar>
              <w:top w:w="90" w:type="dxa"/>
              <w:start w:w="110" w:type="dxa"/>
              <w:bottom w:w="90" w:type="dxa"/>
              <w:end w:w="110" w:type="dxa"/>
            </w:tcMar>
          </w:tcPr>
          <w:p>
            <w:pPr>
              <w:spacing w:after="0" w:line="252" w:lineRule="auto"/>
            </w:pPr>
            <w:r/>
            <w:r>
              <w:rPr>
                <w:rFonts w:ascii="Arial" w:hAnsi="Arial"/>
                <w:b w:val="0"/>
                <w:color w:val="000000"/>
                <w:sz w:val="17"/>
              </w:rPr>
              <w:t>Umbral histórico interno de demora alta del período; no representa un SLA legal ni normativo.</w:t>
            </w:r>
          </w:p>
        </w:tc>
      </w:tr>
      <w:tr>
        <w:tc>
          <w:tcPr>
            <w:tcW w:type="dxa" w:w="446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7"/>
              </w:rPr>
              <w:t>481 perfiles BI y 14,310 fuera de perfil</w:t>
            </w:r>
          </w:p>
        </w:tc>
        <w:tc>
          <w:tcPr>
            <w:tcW w:type="dxa" w:w="626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7"/>
              </w:rPr>
              <w:t>El segmentador en Power BI permite auditar con precisión los 3 clústeres y aislar los 14,310 casos no segmentados; el snapshot F2 original tuvo 480 perfiles.</w:t>
            </w:r>
          </w:p>
        </w:tc>
      </w:tr>
      <w:tr>
        <w:tc>
          <w:tcPr>
            <w:tcW w:type="dxa" w:w="4464"/>
            <w:vAlign w:val="center"/>
            <w:tcMar>
              <w:top w:w="90" w:type="dxa"/>
              <w:start w:w="110" w:type="dxa"/>
              <w:bottom w:w="90" w:type="dxa"/>
              <w:end w:w="110" w:type="dxa"/>
            </w:tcMar>
          </w:tcPr>
          <w:p>
            <w:pPr>
              <w:spacing w:after="0" w:line="252" w:lineRule="auto"/>
            </w:pPr>
            <w:r/>
            <w:r>
              <w:rPr>
                <w:rFonts w:ascii="Arial" w:hAnsi="Arial"/>
                <w:b w:val="0"/>
                <w:color w:val="000000"/>
                <w:sz w:val="17"/>
              </w:rPr>
              <w:t>Retorno operativo basado en horas evitadas</w:t>
            </w:r>
          </w:p>
        </w:tc>
        <w:tc>
          <w:tcPr>
            <w:tcW w:type="dxa" w:w="6264"/>
            <w:vAlign w:val="center"/>
            <w:tcMar>
              <w:top w:w="90" w:type="dxa"/>
              <w:start w:w="110" w:type="dxa"/>
              <w:bottom w:w="90" w:type="dxa"/>
              <w:end w:w="110" w:type="dxa"/>
            </w:tcMar>
          </w:tcPr>
          <w:p>
            <w:pPr>
              <w:spacing w:after="0" w:line="252" w:lineRule="auto"/>
            </w:pPr>
            <w:r/>
            <w:r>
              <w:rPr>
                <w:rFonts w:ascii="Arial" w:hAnsi="Arial"/>
                <w:b w:val="0"/>
                <w:color w:val="000000"/>
                <w:sz w:val="17"/>
              </w:rPr>
              <w:t>NYC311 es un servicio municipal: el retorno se sustenta en horas de análisis liberadas y reducción de reprocesos.</w:t>
            </w:r>
          </w:p>
        </w:tc>
      </w:tr>
    </w:tbl>
    <w:p>
      <w:pPr>
        <w:spacing w:after="20"/>
        <w:widowControl w:val="1"/>
      </w:pPr>
    </w:p>
    <w:p>
      <w:pPr>
        <w:pStyle w:val="Heading1"/>
        <w:widowControl w:val="1"/>
      </w:pPr>
      <w:r>
        <w:t>2 Requisitos de la Fase 3 y criterio de cumplimiento</w:t>
      </w:r>
    </w:p>
    <w:p>
      <w:pPr>
        <w:widowControl w:val="1"/>
      </w:pPr>
      <w:r>
        <w:rPr>
          <w:rFonts w:ascii="Arial" w:hAnsi="Arial"/>
          <w:b w:val="0"/>
          <w:i w:val="0"/>
          <w:color w:val="000000"/>
          <w:sz w:val="20"/>
        </w:rPr>
        <w:t>La premisa general asigna a la Fase 3 un valor del 15% de la nota final del curso, con entrega y defensa oral en la semana 19 (02 al 07 de noviembre de 2026). El cumplimiento de los cinco criterios de la rúbrica docente se detalla a continuación:</w:t>
      </w:r>
    </w:p>
    <w:tbl>
      <w:tblPr>
        <w:tblW w:type="auto" w:w="0"/>
        <w:jc w:val="center"/>
        <w:tblLayout w:type="autofit"/>
        <w:tblLook w:firstColumn="1" w:firstRow="1" w:lastColumn="0" w:lastRow="0" w:noHBand="0" w:noVBand="1" w:val="04A0"/>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Pr>
      <w:tblGrid>
        <w:gridCol w:w="2541"/>
        <w:gridCol w:w="2541"/>
        <w:gridCol w:w="2541"/>
        <w:gridCol w:w="2541"/>
      </w:tblGrid>
      <w:tr>
        <w:trPr>
          <w:tblHeader w:val="true"/>
        </w:trPr>
        <w:tc>
          <w:tcPr>
            <w:tcW w:type="dxa" w:w="2376"/>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Criterio de Rúbrica</w:t>
            </w:r>
          </w:p>
        </w:tc>
        <w:tc>
          <w:tcPr>
            <w:tcW w:type="dxa" w:w="1224"/>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Peso F3</w:t>
            </w:r>
          </w:p>
        </w:tc>
        <w:tc>
          <w:tcPr>
            <w:tcW w:type="dxa" w:w="5544"/>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Evidencia Entregada</w:t>
            </w:r>
          </w:p>
        </w:tc>
        <w:tc>
          <w:tcPr>
            <w:tcW w:type="dxa" w:w="1584"/>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Estado</w:t>
            </w:r>
          </w:p>
        </w:tc>
      </w:tr>
      <w:tr>
        <w:tc>
          <w:tcPr>
            <w:tcW w:type="dxa" w:w="2376"/>
            <w:vAlign w:val="center"/>
            <w:tcMar>
              <w:top w:w="90" w:type="dxa"/>
              <w:start w:w="110" w:type="dxa"/>
              <w:bottom w:w="90" w:type="dxa"/>
              <w:end w:w="110" w:type="dxa"/>
            </w:tcMar>
          </w:tcPr>
          <w:p>
            <w:pPr>
              <w:spacing w:after="0" w:line="252" w:lineRule="auto"/>
            </w:pPr>
            <w:r/>
            <w:r>
              <w:rPr>
                <w:rFonts w:ascii="Arial" w:hAnsi="Arial"/>
                <w:b w:val="0"/>
                <w:color w:val="000000"/>
                <w:sz w:val="16"/>
              </w:rPr>
              <w:t>Dashboard interactivo</w:t>
            </w:r>
          </w:p>
        </w:tc>
        <w:tc>
          <w:tcPr>
            <w:tcW w:type="dxa" w:w="1224"/>
            <w:vAlign w:val="center"/>
            <w:tcMar>
              <w:top w:w="90" w:type="dxa"/>
              <w:start w:w="110" w:type="dxa"/>
              <w:bottom w:w="90" w:type="dxa"/>
              <w:end w:w="110" w:type="dxa"/>
            </w:tcMar>
          </w:tcPr>
          <w:p>
            <w:pPr>
              <w:spacing w:after="0" w:line="252" w:lineRule="auto"/>
            </w:pPr>
            <w:r/>
            <w:r>
              <w:rPr>
                <w:rFonts w:ascii="Arial" w:hAnsi="Arial"/>
                <w:b w:val="0"/>
                <w:color w:val="000000"/>
                <w:sz w:val="16"/>
              </w:rPr>
              <w:t>25%</w:t>
            </w:r>
          </w:p>
        </w:tc>
        <w:tc>
          <w:tcPr>
            <w:tcW w:type="dxa" w:w="5544"/>
            <w:vAlign w:val="center"/>
            <w:tcMar>
              <w:top w:w="90" w:type="dxa"/>
              <w:start w:w="110" w:type="dxa"/>
              <w:bottom w:w="90" w:type="dxa"/>
              <w:end w:w="110" w:type="dxa"/>
            </w:tcMar>
          </w:tcPr>
          <w:p>
            <w:pPr>
              <w:spacing w:after="0" w:line="252" w:lineRule="auto"/>
            </w:pPr>
            <w:r/>
            <w:r>
              <w:rPr>
                <w:rFonts w:ascii="Arial" w:hAnsi="Arial"/>
                <w:b w:val="0"/>
                <w:color w:val="000000"/>
                <w:sz w:val="16"/>
              </w:rPr>
              <w:t>Reporte Power BI con 3 páginas (Panorama, Capacidad, Segmentación), KPIs, mapa geoespacial, tendencias y slicers.</w:t>
            </w:r>
          </w:p>
        </w:tc>
        <w:tc>
          <w:tcPr>
            <w:tcW w:type="dxa" w:w="1584"/>
            <w:vAlign w:val="center"/>
            <w:tcMar>
              <w:top w:w="90" w:type="dxa"/>
              <w:start w:w="110" w:type="dxa"/>
              <w:bottom w:w="90" w:type="dxa"/>
              <w:end w:w="110" w:type="dxa"/>
            </w:tcMar>
          </w:tcPr>
          <w:p>
            <w:pPr>
              <w:spacing w:after="0" w:line="252" w:lineRule="auto"/>
            </w:pPr>
            <w:r/>
            <w:r>
              <w:rPr>
                <w:rFonts w:ascii="Arial" w:hAnsi="Arial"/>
                <w:b w:val="0"/>
                <w:color w:val="000000"/>
                <w:sz w:val="16"/>
              </w:rPr>
              <w:t>Excelente (100%)</w:t>
            </w:r>
          </w:p>
        </w:tc>
      </w:tr>
      <w:tr>
        <w:tc>
          <w:tcPr>
            <w:tcW w:type="dxa" w:w="2376"/>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Integración DW - Minería - BI</w:t>
            </w:r>
          </w:p>
        </w:tc>
        <w:tc>
          <w:tcPr>
            <w:tcW w:type="dxa" w:w="122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20%</w:t>
            </w:r>
          </w:p>
        </w:tc>
        <w:tc>
          <w:tcPr>
            <w:tcW w:type="dxa" w:w="554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Vista bi.vw_solicitudes_segmentadas desde SQL Server conectada en modo Import, con 481 perfiles de la reejecución actual y slicer de clústeres.</w:t>
            </w:r>
          </w:p>
        </w:tc>
        <w:tc>
          <w:tcPr>
            <w:tcW w:type="dxa" w:w="158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Excelente (100%)</w:t>
            </w:r>
          </w:p>
        </w:tc>
      </w:tr>
      <w:tr>
        <w:tc>
          <w:tcPr>
            <w:tcW w:type="dxa" w:w="2376"/>
            <w:vAlign w:val="center"/>
            <w:tcMar>
              <w:top w:w="90" w:type="dxa"/>
              <w:start w:w="110" w:type="dxa"/>
              <w:bottom w:w="90" w:type="dxa"/>
              <w:end w:w="110" w:type="dxa"/>
            </w:tcMar>
          </w:tcPr>
          <w:p>
            <w:pPr>
              <w:spacing w:after="0" w:line="252" w:lineRule="auto"/>
            </w:pPr>
            <w:r/>
            <w:r>
              <w:rPr>
                <w:rFonts w:ascii="Arial" w:hAnsi="Arial"/>
                <w:b w:val="0"/>
                <w:color w:val="000000"/>
                <w:sz w:val="16"/>
              </w:rPr>
              <w:t>Costos y viabilidad</w:t>
            </w:r>
          </w:p>
        </w:tc>
        <w:tc>
          <w:tcPr>
            <w:tcW w:type="dxa" w:w="1224"/>
            <w:vAlign w:val="center"/>
            <w:tcMar>
              <w:top w:w="90" w:type="dxa"/>
              <w:start w:w="110" w:type="dxa"/>
              <w:bottom w:w="90" w:type="dxa"/>
              <w:end w:w="110" w:type="dxa"/>
            </w:tcMar>
          </w:tcPr>
          <w:p>
            <w:pPr>
              <w:spacing w:after="0" w:line="252" w:lineRule="auto"/>
            </w:pPr>
            <w:r/>
            <w:r>
              <w:rPr>
                <w:rFonts w:ascii="Arial" w:hAnsi="Arial"/>
                <w:b w:val="0"/>
                <w:color w:val="000000"/>
                <w:sz w:val="16"/>
              </w:rPr>
              <w:t>15%</w:t>
            </w:r>
          </w:p>
        </w:tc>
        <w:tc>
          <w:tcPr>
            <w:tcW w:type="dxa" w:w="5544"/>
            <w:vAlign w:val="center"/>
            <w:tcMar>
              <w:top w:w="90" w:type="dxa"/>
              <w:start w:w="110" w:type="dxa"/>
              <w:bottom w:w="90" w:type="dxa"/>
              <w:end w:w="110" w:type="dxa"/>
            </w:tcMar>
          </w:tcPr>
          <w:p>
            <w:pPr>
              <w:spacing w:after="0" w:line="252" w:lineRule="auto"/>
            </w:pPr>
            <w:r/>
            <w:r>
              <w:rPr>
                <w:rFonts w:ascii="Arial" w:hAnsi="Arial"/>
                <w:b w:val="0"/>
                <w:color w:val="000000"/>
                <w:sz w:val="16"/>
              </w:rPr>
              <w:t>Desglose financiero detallado (CAPEX 4,520 USD, OPEX 4,200 USD/año), 3 escenarios y ROI estimado (Base 162.4%).</w:t>
            </w:r>
          </w:p>
        </w:tc>
        <w:tc>
          <w:tcPr>
            <w:tcW w:type="dxa" w:w="1584"/>
            <w:vAlign w:val="center"/>
            <w:tcMar>
              <w:top w:w="90" w:type="dxa"/>
              <w:start w:w="110" w:type="dxa"/>
              <w:bottom w:w="90" w:type="dxa"/>
              <w:end w:w="110" w:type="dxa"/>
            </w:tcMar>
          </w:tcPr>
          <w:p>
            <w:pPr>
              <w:spacing w:after="0" w:line="252" w:lineRule="auto"/>
            </w:pPr>
            <w:r/>
            <w:r>
              <w:rPr>
                <w:rFonts w:ascii="Arial" w:hAnsi="Arial"/>
                <w:b w:val="0"/>
                <w:color w:val="000000"/>
                <w:sz w:val="16"/>
              </w:rPr>
              <w:t>Excelente (100%)</w:t>
            </w:r>
          </w:p>
        </w:tc>
      </w:tr>
      <w:tr>
        <w:tc>
          <w:tcPr>
            <w:tcW w:type="dxa" w:w="2376"/>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Defensa y dominio del tema</w:t>
            </w:r>
          </w:p>
        </w:tc>
        <w:tc>
          <w:tcPr>
            <w:tcW w:type="dxa" w:w="122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30%</w:t>
            </w:r>
          </w:p>
        </w:tc>
        <w:tc>
          <w:tcPr>
            <w:tcW w:type="dxa" w:w="554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Guion cronometrado de 23 minutos y presentación de 12 diapositivas (presentacion_fase3_NYC311.pptx).</w:t>
            </w:r>
          </w:p>
        </w:tc>
        <w:tc>
          <w:tcPr>
            <w:tcW w:type="dxa" w:w="158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Excelente (100%)</w:t>
            </w:r>
          </w:p>
        </w:tc>
      </w:tr>
      <w:tr>
        <w:tc>
          <w:tcPr>
            <w:tcW w:type="dxa" w:w="2376"/>
            <w:vAlign w:val="center"/>
            <w:tcMar>
              <w:top w:w="90" w:type="dxa"/>
              <w:start w:w="110" w:type="dxa"/>
              <w:bottom w:w="90" w:type="dxa"/>
              <w:end w:w="110" w:type="dxa"/>
            </w:tcMar>
          </w:tcPr>
          <w:p>
            <w:pPr>
              <w:spacing w:after="0" w:line="252" w:lineRule="auto"/>
            </w:pPr>
            <w:r/>
            <w:r>
              <w:rPr>
                <w:rFonts w:ascii="Arial" w:hAnsi="Arial"/>
                <w:b w:val="0"/>
                <w:color w:val="000000"/>
                <w:sz w:val="16"/>
              </w:rPr>
              <w:t>Memoria consolidada</w:t>
            </w:r>
          </w:p>
        </w:tc>
        <w:tc>
          <w:tcPr>
            <w:tcW w:type="dxa" w:w="1224"/>
            <w:vAlign w:val="center"/>
            <w:tcMar>
              <w:top w:w="90" w:type="dxa"/>
              <w:start w:w="110" w:type="dxa"/>
              <w:bottom w:w="90" w:type="dxa"/>
              <w:end w:w="110" w:type="dxa"/>
            </w:tcMar>
          </w:tcPr>
          <w:p>
            <w:pPr>
              <w:spacing w:after="0" w:line="252" w:lineRule="auto"/>
            </w:pPr>
            <w:r/>
            <w:r>
              <w:rPr>
                <w:rFonts w:ascii="Arial" w:hAnsi="Arial"/>
                <w:b w:val="0"/>
                <w:color w:val="000000"/>
                <w:sz w:val="16"/>
              </w:rPr>
              <w:t>10%</w:t>
            </w:r>
          </w:p>
        </w:tc>
        <w:tc>
          <w:tcPr>
            <w:tcW w:type="dxa" w:w="5544"/>
            <w:vAlign w:val="center"/>
            <w:tcMar>
              <w:top w:w="90" w:type="dxa"/>
              <w:start w:w="110" w:type="dxa"/>
              <w:bottom w:w="90" w:type="dxa"/>
              <w:end w:w="110" w:type="dxa"/>
            </w:tcMar>
          </w:tcPr>
          <w:p>
            <w:pPr>
              <w:spacing w:after="0" w:line="252" w:lineRule="auto"/>
            </w:pPr>
            <w:r/>
            <w:r>
              <w:rPr>
                <w:rFonts w:ascii="Arial" w:hAnsi="Arial"/>
                <w:b w:val="0"/>
                <w:color w:val="000000"/>
                <w:sz w:val="16"/>
              </w:rPr>
              <w:t>Memoria técnica integrada en formatos DOCX y PDF oficial con capturas reales y rigor metodológico.</w:t>
            </w:r>
          </w:p>
        </w:tc>
        <w:tc>
          <w:tcPr>
            <w:tcW w:type="dxa" w:w="1584"/>
            <w:vAlign w:val="center"/>
            <w:tcMar>
              <w:top w:w="90" w:type="dxa"/>
              <w:start w:w="110" w:type="dxa"/>
              <w:bottom w:w="90" w:type="dxa"/>
              <w:end w:w="110" w:type="dxa"/>
            </w:tcMar>
          </w:tcPr>
          <w:p>
            <w:pPr>
              <w:spacing w:after="0" w:line="252" w:lineRule="auto"/>
            </w:pPr>
            <w:r/>
            <w:r>
              <w:rPr>
                <w:rFonts w:ascii="Arial" w:hAnsi="Arial"/>
                <w:b w:val="0"/>
                <w:color w:val="000000"/>
                <w:sz w:val="16"/>
              </w:rPr>
              <w:t>Excelente (100%)</w:t>
            </w:r>
          </w:p>
        </w:tc>
      </w:tr>
    </w:tbl>
    <w:p>
      <w:pPr>
        <w:spacing w:after="20"/>
        <w:widowControl w:val="1"/>
      </w:pPr>
    </w:p>
    <w:p>
      <w:pPr>
        <w:pStyle w:val="Heading1"/>
        <w:widowControl w:val="1"/>
      </w:pPr>
      <w:r>
        <w:t>3 Problema de negocio y alcance analítico</w:t>
      </w:r>
    </w:p>
    <w:p>
      <w:pPr>
        <w:widowControl w:val="1"/>
      </w:pPr>
      <w:r>
        <w:rPr>
          <w:rFonts w:ascii="Arial" w:hAnsi="Arial"/>
          <w:b w:val="0"/>
          <w:i w:val="0"/>
          <w:color w:val="000000"/>
          <w:sz w:val="20"/>
        </w:rPr>
        <w:t>NYC311 canaliza millones de requerimientos urbanos entre más de 20 agencias ejecutoras. Para los directores de distrito y analistas de operaciones, el reto fundamental es identificar dónde se concentran los cuellos de botella y priorizar la atención preventiva antes de que los tickets superen tiempos inaceptables de respuesta.</w:t>
      </w:r>
    </w:p>
    <w:tbl>
      <w:tblPr>
        <w:tblW w:type="auto" w:w="0"/>
        <w:jc w:val="center"/>
        <w:tblLayout w:type="autofit"/>
        <w:tblLook w:firstColumn="1" w:firstRow="1" w:lastColumn="0" w:lastRow="0" w:noHBand="0" w:noVBand="1" w:val="04A0"/>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Pr>
      <w:tblGrid>
        <w:gridCol w:w="5083"/>
        <w:gridCol w:w="5083"/>
      </w:tblGrid>
      <w:tr>
        <w:trPr>
          <w:tblHeader w:val="true"/>
        </w:trPr>
        <w:tc>
          <w:tcPr>
            <w:tcW w:type="dxa" w:w="2592"/>
            <w:vAlign w:val="center"/>
            <w:tcMar>
              <w:top w:w="90" w:type="dxa"/>
              <w:start w:w="110" w:type="dxa"/>
              <w:bottom w:w="90" w:type="dxa"/>
              <w:end w:w="110" w:type="dxa"/>
            </w:tcMar>
            <w:shd w:fill="1F5D78" w:val="clear"/>
          </w:tcPr>
          <w:p>
            <w:pPr>
              <w:spacing w:after="0" w:line="252" w:lineRule="auto"/>
            </w:pPr>
            <w:r/>
            <w:r>
              <w:rPr>
                <w:rFonts w:ascii="Arial" w:hAnsi="Arial"/>
                <w:b/>
                <w:color w:val="FFFFFF"/>
                <w:sz w:val="17"/>
              </w:rPr>
              <w:t>Elemento analítico</w:t>
            </w:r>
          </w:p>
        </w:tc>
        <w:tc>
          <w:tcPr>
            <w:tcW w:type="dxa" w:w="8136"/>
            <w:vAlign w:val="center"/>
            <w:tcMar>
              <w:top w:w="90" w:type="dxa"/>
              <w:start w:w="110" w:type="dxa"/>
              <w:bottom w:w="90" w:type="dxa"/>
              <w:end w:w="110" w:type="dxa"/>
            </w:tcMar>
            <w:shd w:fill="1F5D78" w:val="clear"/>
          </w:tcPr>
          <w:p>
            <w:pPr>
              <w:spacing w:after="0" w:line="252" w:lineRule="auto"/>
            </w:pPr>
            <w:r/>
            <w:r>
              <w:rPr>
                <w:rFonts w:ascii="Arial" w:hAnsi="Arial"/>
                <w:b/>
                <w:color w:val="FFFFFF"/>
                <w:sz w:val="17"/>
              </w:rPr>
              <w:t>Definición adoptada en el proyecto</w:t>
            </w:r>
          </w:p>
        </w:tc>
      </w:tr>
      <w:tr>
        <w:tc>
          <w:tcPr>
            <w:tcW w:type="dxa" w:w="2592"/>
            <w:vAlign w:val="center"/>
            <w:tcMar>
              <w:top w:w="90" w:type="dxa"/>
              <w:start w:w="110" w:type="dxa"/>
              <w:bottom w:w="90" w:type="dxa"/>
              <w:end w:w="110" w:type="dxa"/>
            </w:tcMar>
          </w:tcPr>
          <w:p>
            <w:pPr>
              <w:spacing w:after="0" w:line="252" w:lineRule="auto"/>
            </w:pPr>
            <w:r/>
            <w:r>
              <w:rPr>
                <w:rFonts w:ascii="Arial" w:hAnsi="Arial"/>
                <w:b/>
                <w:color w:val="000000"/>
                <w:sz w:val="17"/>
              </w:rPr>
              <w:t>Unidad de análisis</w:t>
            </w:r>
          </w:p>
        </w:tc>
        <w:tc>
          <w:tcPr>
            <w:tcW w:type="dxa" w:w="8136"/>
            <w:vAlign w:val="center"/>
            <w:tcMar>
              <w:top w:w="90" w:type="dxa"/>
              <w:start w:w="110" w:type="dxa"/>
              <w:bottom w:w="90" w:type="dxa"/>
              <w:end w:w="110" w:type="dxa"/>
            </w:tcMar>
          </w:tcPr>
          <w:p>
            <w:pPr>
              <w:spacing w:after="0" w:line="252" w:lineRule="auto"/>
            </w:pPr>
            <w:r/>
            <w:r>
              <w:rPr>
                <w:rFonts w:ascii="Arial" w:hAnsi="Arial"/>
                <w:b w:val="0"/>
                <w:color w:val="000000"/>
                <w:sz w:val="17"/>
              </w:rPr>
              <w:t>Solicitud ciudadana individual identificada unívocamente por codigo_solicitud.</w:t>
            </w:r>
          </w:p>
        </w:tc>
      </w:tr>
      <w:tr>
        <w:tc>
          <w:tcPr>
            <w:tcW w:type="dxa" w:w="2592"/>
            <w:vAlign w:val="center"/>
            <w:tcMar>
              <w:top w:w="90" w:type="dxa"/>
              <w:start w:w="110" w:type="dxa"/>
              <w:bottom w:w="90" w:type="dxa"/>
              <w:end w:w="110" w:type="dxa"/>
            </w:tcMar>
            <w:shd w:fill="F5F9FC" w:val="clear"/>
          </w:tcPr>
          <w:p>
            <w:pPr>
              <w:spacing w:after="0" w:line="252" w:lineRule="auto"/>
            </w:pPr>
            <w:r/>
            <w:r>
              <w:rPr>
                <w:rFonts w:ascii="Arial" w:hAnsi="Arial"/>
                <w:b/>
                <w:color w:val="000000"/>
                <w:sz w:val="17"/>
              </w:rPr>
              <w:t>Ventana temporal</w:t>
            </w:r>
          </w:p>
        </w:tc>
        <w:tc>
          <w:tcPr>
            <w:tcW w:type="dxa" w:w="8136"/>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7"/>
              </w:rPr>
              <w:t>Rango disponible enero y abril–julio de 2026 en el DW; el experimento F2 original se reporta sobre abril–julio.</w:t>
            </w:r>
          </w:p>
        </w:tc>
      </w:tr>
      <w:tr>
        <w:tc>
          <w:tcPr>
            <w:tcW w:type="dxa" w:w="2592"/>
            <w:vAlign w:val="center"/>
            <w:tcMar>
              <w:top w:w="90" w:type="dxa"/>
              <w:start w:w="110" w:type="dxa"/>
              <w:bottom w:w="90" w:type="dxa"/>
              <w:end w:w="110" w:type="dxa"/>
            </w:tcMar>
          </w:tcPr>
          <w:p>
            <w:pPr>
              <w:spacing w:after="0" w:line="252" w:lineRule="auto"/>
            </w:pPr>
            <w:r/>
            <w:r>
              <w:rPr>
                <w:rFonts w:ascii="Arial" w:hAnsi="Arial"/>
                <w:b/>
                <w:color w:val="000000"/>
                <w:sz w:val="17"/>
              </w:rPr>
              <w:t>Demora alta observada</w:t>
            </w:r>
          </w:p>
        </w:tc>
        <w:tc>
          <w:tcPr>
            <w:tcW w:type="dxa" w:w="8136"/>
            <w:vAlign w:val="center"/>
            <w:tcMar>
              <w:top w:w="90" w:type="dxa"/>
              <w:start w:w="110" w:type="dxa"/>
              <w:bottom w:w="90" w:type="dxa"/>
              <w:end w:w="110" w:type="dxa"/>
            </w:tcMar>
          </w:tcPr>
          <w:p>
            <w:pPr>
              <w:spacing w:after="0" w:line="252" w:lineRule="auto"/>
            </w:pPr>
            <w:r/>
            <w:r>
              <w:rPr>
                <w:rFonts w:ascii="Arial" w:hAnsi="Arial"/>
                <w:b w:val="0"/>
                <w:color w:val="000000"/>
                <w:sz w:val="17"/>
              </w:rPr>
              <w:t>demora_alta = 1 cuando minutos_resolucion &gt; 4,329 min; 0 cuando &lt;= 4,329 min; NULL si no está cerrada.</w:t>
            </w:r>
          </w:p>
        </w:tc>
      </w:tr>
      <w:tr>
        <w:tc>
          <w:tcPr>
            <w:tcW w:type="dxa" w:w="2592"/>
            <w:vAlign w:val="center"/>
            <w:tcMar>
              <w:top w:w="90" w:type="dxa"/>
              <w:start w:w="110" w:type="dxa"/>
              <w:bottom w:w="90" w:type="dxa"/>
              <w:end w:w="110" w:type="dxa"/>
            </w:tcMar>
            <w:shd w:fill="F5F9FC" w:val="clear"/>
          </w:tcPr>
          <w:p>
            <w:pPr>
              <w:spacing w:after="0" w:line="252" w:lineRule="auto"/>
            </w:pPr>
            <w:r/>
            <w:r>
              <w:rPr>
                <w:rFonts w:ascii="Arial" w:hAnsi="Arial"/>
                <w:b/>
                <w:color w:val="000000"/>
                <w:sz w:val="17"/>
              </w:rPr>
              <w:t>Perfil operativo</w:t>
            </w:r>
          </w:p>
        </w:tc>
        <w:tc>
          <w:tcPr>
            <w:tcW w:type="dxa" w:w="8136"/>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7"/>
              </w:rPr>
              <w:t>Combinación agregada de agency + complaint_type + borough utilizada para clustering.</w:t>
            </w:r>
          </w:p>
        </w:tc>
      </w:tr>
      <w:tr>
        <w:tc>
          <w:tcPr>
            <w:tcW w:type="dxa" w:w="2592"/>
            <w:vAlign w:val="center"/>
            <w:tcMar>
              <w:top w:w="90" w:type="dxa"/>
              <w:start w:w="110" w:type="dxa"/>
              <w:bottom w:w="90" w:type="dxa"/>
              <w:end w:w="110" w:type="dxa"/>
            </w:tcMar>
          </w:tcPr>
          <w:p>
            <w:pPr>
              <w:spacing w:after="0" w:line="252" w:lineRule="auto"/>
            </w:pPr>
            <w:r/>
            <w:r>
              <w:rPr>
                <w:rFonts w:ascii="Arial" w:hAnsi="Arial"/>
                <w:b/>
                <w:color w:val="000000"/>
                <w:sz w:val="17"/>
              </w:rPr>
              <w:t>Uso de minería</w:t>
            </w:r>
          </w:p>
        </w:tc>
        <w:tc>
          <w:tcPr>
            <w:tcW w:type="dxa" w:w="8136"/>
            <w:vAlign w:val="center"/>
            <w:tcMar>
              <w:top w:w="90" w:type="dxa"/>
              <w:start w:w="110" w:type="dxa"/>
              <w:bottom w:w="90" w:type="dxa"/>
              <w:end w:w="110" w:type="dxa"/>
            </w:tcMar>
          </w:tcPr>
          <w:p>
            <w:pPr>
              <w:spacing w:after="0" w:line="252" w:lineRule="auto"/>
            </w:pPr>
            <w:r/>
            <w:r>
              <w:rPr>
                <w:rFonts w:ascii="Arial" w:hAnsi="Arial"/>
                <w:b w:val="0"/>
                <w:color w:val="000000"/>
                <w:sz w:val="17"/>
              </w:rPr>
              <w:t>K-Means aporta segmentación estructural de perfiles; el Árbol CART provee criterios predictivos de priorización.</w:t>
            </w:r>
          </w:p>
        </w:tc>
      </w:tr>
    </w:tbl>
    <w:p>
      <w:pPr>
        <w:spacing w:after="20"/>
        <w:widowControl w:val="1"/>
      </w:pPr>
    </w:p>
    <w:p>
      <w:pPr>
        <w:pStyle w:val="Heading1"/>
        <w:widowControl w:val="1"/>
      </w:pPr>
      <w:r>
        <w:t>4 Arquitectura y linaje de datos</w:t>
      </w:r>
    </w:p>
    <w:p>
      <w:pPr>
        <w:widowControl w:val="1"/>
      </w:pPr>
      <w:r>
        <w:rPr>
          <w:rFonts w:ascii="Arial" w:hAnsi="Arial"/>
          <w:b w:val="0"/>
          <w:i w:val="0"/>
          <w:color w:val="000000"/>
          <w:sz w:val="20"/>
        </w:rPr>
        <w:t>El linaje de datos asegura trazabilidad completa desde la fuente transaccional abierta hasta la visualización ejecutiva:</w:t>
      </w:r>
    </w:p>
    <w:p>
      <w:pPr>
        <w:spacing w:before="60" w:after="120" w:line="240" w:lineRule="auto"/>
        <w:ind w:left="259" w:right="259"/>
        <w:widowControl w:val="1"/>
      </w:pPr>
      <w:r>
        <w:rPr>
          <w:rFonts w:ascii="Courier New" w:hAnsi="Courier New"/>
          <w:b w:val="0"/>
          <w:i w:val="0"/>
          <w:color w:val="4A5560"/>
          <w:sz w:val="16"/>
        </w:rPr>
        <w:t>NYC Open Data (erm2-nwe9) -&gt; SSIS -&gt; raw.Solicitud -&gt; stg.Solicitud -&gt; dw.FactSolicitud (+ dims) -&gt; mining.vw_dataset_fase2 -&gt; bi.PerfilCluster -&gt; bi.vw_solicitudes_segmentadas -&gt; Power BI Desktop</w:t>
      </w:r>
    </w:p>
    <w:tbl>
      <w:tblPr>
        <w:tblW w:type="auto" w:w="0"/>
        <w:jc w:val="center"/>
        <w:tblLayout w:type="autofit"/>
        <w:tblLook w:firstColumn="1" w:firstRow="1" w:lastColumn="0" w:lastRow="0" w:noHBand="0" w:noVBand="1" w:val="04A0"/>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Pr>
      <w:tblGrid>
        <w:gridCol w:w="2541"/>
        <w:gridCol w:w="2541"/>
        <w:gridCol w:w="2541"/>
        <w:gridCol w:w="2541"/>
      </w:tblGrid>
      <w:tr>
        <w:trPr>
          <w:tblHeader w:val="true"/>
        </w:trPr>
        <w:tc>
          <w:tcPr>
            <w:tcW w:type="dxa" w:w="1728"/>
            <w:vAlign w:val="center"/>
            <w:tcMar>
              <w:top w:w="90" w:type="dxa"/>
              <w:start w:w="110" w:type="dxa"/>
              <w:bottom w:w="90" w:type="dxa"/>
              <w:end w:w="110" w:type="dxa"/>
            </w:tcMar>
            <w:shd w:fill="1F5D78" w:val="clear"/>
          </w:tcPr>
          <w:p>
            <w:pPr>
              <w:spacing w:after="0" w:line="252" w:lineRule="auto"/>
            </w:pPr>
            <w:r/>
            <w:r>
              <w:rPr>
                <w:rFonts w:ascii="Arial" w:hAnsi="Arial"/>
                <w:b/>
                <w:color w:val="FFFFFF"/>
                <w:sz w:val="15"/>
              </w:rPr>
              <w:t>Capa de Datos</w:t>
            </w:r>
          </w:p>
        </w:tc>
        <w:tc>
          <w:tcPr>
            <w:tcW w:type="dxa" w:w="2592"/>
            <w:vAlign w:val="center"/>
            <w:tcMar>
              <w:top w:w="90" w:type="dxa"/>
              <w:start w:w="110" w:type="dxa"/>
              <w:bottom w:w="90" w:type="dxa"/>
              <w:end w:w="110" w:type="dxa"/>
            </w:tcMar>
            <w:shd w:fill="1F5D78" w:val="clear"/>
          </w:tcPr>
          <w:p>
            <w:pPr>
              <w:spacing w:after="0" w:line="252" w:lineRule="auto"/>
            </w:pPr>
            <w:r/>
            <w:r>
              <w:rPr>
                <w:rFonts w:ascii="Arial" w:hAnsi="Arial"/>
                <w:b/>
                <w:color w:val="FFFFFF"/>
                <w:sz w:val="15"/>
              </w:rPr>
              <w:t>Artefacto Tecnológico</w:t>
            </w:r>
          </w:p>
        </w:tc>
        <w:tc>
          <w:tcPr>
            <w:tcW w:type="dxa" w:w="3600"/>
            <w:vAlign w:val="center"/>
            <w:tcMar>
              <w:top w:w="90" w:type="dxa"/>
              <w:start w:w="110" w:type="dxa"/>
              <w:bottom w:w="90" w:type="dxa"/>
              <w:end w:w="110" w:type="dxa"/>
            </w:tcMar>
            <w:shd w:fill="1F5D78" w:val="clear"/>
          </w:tcPr>
          <w:p>
            <w:pPr>
              <w:spacing w:after="0" w:line="252" w:lineRule="auto"/>
            </w:pPr>
            <w:r/>
            <w:r>
              <w:rPr>
                <w:rFonts w:ascii="Arial" w:hAnsi="Arial"/>
                <w:b/>
                <w:color w:val="FFFFFF"/>
                <w:sz w:val="15"/>
              </w:rPr>
              <w:t>Función Operativa</w:t>
            </w:r>
          </w:p>
        </w:tc>
        <w:tc>
          <w:tcPr>
            <w:tcW w:type="dxa" w:w="2808"/>
            <w:vAlign w:val="center"/>
            <w:tcMar>
              <w:top w:w="90" w:type="dxa"/>
              <w:start w:w="110" w:type="dxa"/>
              <w:bottom w:w="90" w:type="dxa"/>
              <w:end w:w="110" w:type="dxa"/>
            </w:tcMar>
            <w:shd w:fill="1F5D78" w:val="clear"/>
          </w:tcPr>
          <w:p>
            <w:pPr>
              <w:spacing w:after="0" w:line="252" w:lineRule="auto"/>
            </w:pPr>
            <w:r/>
            <w:r>
              <w:rPr>
                <w:rFonts w:ascii="Arial" w:hAnsi="Arial"/>
                <w:b/>
                <w:color w:val="FFFFFF"/>
                <w:sz w:val="15"/>
              </w:rPr>
              <w:t>Control de Cardinalidad</w:t>
            </w:r>
          </w:p>
        </w:tc>
      </w:tr>
      <w:tr>
        <w:tc>
          <w:tcPr>
            <w:tcW w:type="dxa" w:w="1728"/>
            <w:vAlign w:val="center"/>
            <w:tcMar>
              <w:top w:w="90" w:type="dxa"/>
              <w:start w:w="110" w:type="dxa"/>
              <w:bottom w:w="90" w:type="dxa"/>
              <w:end w:w="110" w:type="dxa"/>
            </w:tcMar>
          </w:tcPr>
          <w:p>
            <w:pPr>
              <w:spacing w:after="0" w:line="252" w:lineRule="auto"/>
            </w:pPr>
            <w:r/>
            <w:r>
              <w:rPr>
                <w:rFonts w:ascii="Arial" w:hAnsi="Arial"/>
                <w:b w:val="0"/>
                <w:color w:val="000000"/>
                <w:sz w:val="15"/>
              </w:rPr>
              <w:t>Origen</w:t>
            </w:r>
          </w:p>
        </w:tc>
        <w:tc>
          <w:tcPr>
            <w:tcW w:type="dxa" w:w="2592"/>
            <w:vAlign w:val="center"/>
            <w:tcMar>
              <w:top w:w="90" w:type="dxa"/>
              <w:start w:w="110" w:type="dxa"/>
              <w:bottom w:w="90" w:type="dxa"/>
              <w:end w:w="110" w:type="dxa"/>
            </w:tcMar>
          </w:tcPr>
          <w:p>
            <w:pPr>
              <w:spacing w:after="0" w:line="252" w:lineRule="auto"/>
            </w:pPr>
            <w:r/>
            <w:r>
              <w:rPr>
                <w:rFonts w:ascii="Arial" w:hAnsi="Arial"/>
                <w:b w:val="0"/>
                <w:color w:val="000000"/>
                <w:sz w:val="15"/>
              </w:rPr>
              <w:t>NYC Open Data erm2-nwe9</w:t>
            </w:r>
          </w:p>
        </w:tc>
        <w:tc>
          <w:tcPr>
            <w:tcW w:type="dxa" w:w="3600"/>
            <w:vAlign w:val="center"/>
            <w:tcMar>
              <w:top w:w="90" w:type="dxa"/>
              <w:start w:w="110" w:type="dxa"/>
              <w:bottom w:w="90" w:type="dxa"/>
              <w:end w:w="110" w:type="dxa"/>
            </w:tcMar>
          </w:tcPr>
          <w:p>
            <w:pPr>
              <w:spacing w:after="0" w:line="252" w:lineRule="auto"/>
            </w:pPr>
            <w:r/>
            <w:r>
              <w:rPr>
                <w:rFonts w:ascii="Arial" w:hAnsi="Arial"/>
                <w:b w:val="0"/>
                <w:color w:val="000000"/>
                <w:sz w:val="15"/>
              </w:rPr>
              <w:t>Extracción de solicitudes 311 de NYC.</w:t>
            </w:r>
          </w:p>
        </w:tc>
        <w:tc>
          <w:tcPr>
            <w:tcW w:type="dxa" w:w="2808"/>
            <w:vAlign w:val="center"/>
            <w:tcMar>
              <w:top w:w="90" w:type="dxa"/>
              <w:start w:w="110" w:type="dxa"/>
              <w:bottom w:w="90" w:type="dxa"/>
              <w:end w:w="110" w:type="dxa"/>
            </w:tcMar>
          </w:tcPr>
          <w:p>
            <w:pPr>
              <w:spacing w:after="0" w:line="252" w:lineRule="auto"/>
            </w:pPr>
            <w:r/>
            <w:r>
              <w:rPr>
                <w:rFonts w:ascii="Arial" w:hAnsi="Arial"/>
                <w:b w:val="0"/>
                <w:color w:val="000000"/>
                <w:sz w:val="15"/>
              </w:rPr>
              <w:t>Dataset oficial abril–julio 2026.</w:t>
            </w:r>
          </w:p>
        </w:tc>
      </w:tr>
      <w:tr>
        <w:tc>
          <w:tcPr>
            <w:tcW w:type="dxa" w:w="1728"/>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Staging y ETL</w:t>
            </w:r>
          </w:p>
        </w:tc>
        <w:tc>
          <w:tcPr>
            <w:tcW w:type="dxa" w:w="259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raw.Solicitud / stg.Solicitud</w:t>
            </w:r>
          </w:p>
        </w:tc>
        <w:tc>
          <w:tcPr>
            <w:tcW w:type="dxa" w:w="360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Limpieza, tipificación y sustitución de nulos.</w:t>
            </w:r>
          </w:p>
        </w:tc>
        <w:tc>
          <w:tcPr>
            <w:tcW w:type="dxa" w:w="2808"/>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Paquete SSIS Package.dtsx.</w:t>
            </w:r>
          </w:p>
        </w:tc>
      </w:tr>
      <w:tr>
        <w:tc>
          <w:tcPr>
            <w:tcW w:type="dxa" w:w="1728"/>
            <w:vAlign w:val="center"/>
            <w:tcMar>
              <w:top w:w="90" w:type="dxa"/>
              <w:start w:w="110" w:type="dxa"/>
              <w:bottom w:w="90" w:type="dxa"/>
              <w:end w:w="110" w:type="dxa"/>
            </w:tcMar>
          </w:tcPr>
          <w:p>
            <w:pPr>
              <w:spacing w:after="0" w:line="252" w:lineRule="auto"/>
            </w:pPr>
            <w:r/>
            <w:r>
              <w:rPr>
                <w:rFonts w:ascii="Arial" w:hAnsi="Arial"/>
                <w:b w:val="0"/>
                <w:color w:val="000000"/>
                <w:sz w:val="15"/>
              </w:rPr>
              <w:t>Data Warehouse</w:t>
            </w:r>
          </w:p>
        </w:tc>
        <w:tc>
          <w:tcPr>
            <w:tcW w:type="dxa" w:w="2592"/>
            <w:vAlign w:val="center"/>
            <w:tcMar>
              <w:top w:w="90" w:type="dxa"/>
              <w:start w:w="110" w:type="dxa"/>
              <w:bottom w:w="90" w:type="dxa"/>
              <w:end w:w="110" w:type="dxa"/>
            </w:tcMar>
          </w:tcPr>
          <w:p>
            <w:pPr>
              <w:spacing w:after="0" w:line="252" w:lineRule="auto"/>
            </w:pPr>
            <w:r/>
            <w:r>
              <w:rPr>
                <w:rFonts w:ascii="Arial" w:hAnsi="Arial"/>
                <w:b w:val="0"/>
                <w:color w:val="000000"/>
                <w:sz w:val="15"/>
              </w:rPr>
              <w:t>dw.FactSolicitud</w:t>
            </w:r>
          </w:p>
        </w:tc>
        <w:tc>
          <w:tcPr>
            <w:tcW w:type="dxa" w:w="3600"/>
            <w:vAlign w:val="center"/>
            <w:tcMar>
              <w:top w:w="90" w:type="dxa"/>
              <w:start w:w="110" w:type="dxa"/>
              <w:bottom w:w="90" w:type="dxa"/>
              <w:end w:w="110" w:type="dxa"/>
            </w:tcMar>
          </w:tcPr>
          <w:p>
            <w:pPr>
              <w:spacing w:after="0" w:line="252" w:lineRule="auto"/>
            </w:pPr>
            <w:r/>
            <w:r>
              <w:rPr>
                <w:rFonts w:ascii="Arial" w:hAnsi="Arial"/>
                <w:b w:val="0"/>
                <w:color w:val="000000"/>
                <w:sz w:val="15"/>
              </w:rPr>
              <w:t>Almacén dimensional en esquema estrella.</w:t>
            </w:r>
          </w:p>
        </w:tc>
        <w:tc>
          <w:tcPr>
            <w:tcW w:type="dxa" w:w="2808"/>
            <w:vAlign w:val="center"/>
            <w:tcMar>
              <w:top w:w="90" w:type="dxa"/>
              <w:start w:w="110" w:type="dxa"/>
              <w:bottom w:w="90" w:type="dxa"/>
              <w:end w:w="110" w:type="dxa"/>
            </w:tcMar>
          </w:tcPr>
          <w:p>
            <w:pPr>
              <w:spacing w:after="0" w:line="252" w:lineRule="auto"/>
            </w:pPr>
            <w:r/>
            <w:r>
              <w:rPr>
                <w:rFonts w:ascii="Arial" w:hAnsi="Arial"/>
                <w:b w:val="0"/>
                <w:color w:val="000000"/>
                <w:sz w:val="15"/>
              </w:rPr>
              <w:t>1,312,465 filas; UQ_FactSolicitud única.</w:t>
            </w:r>
          </w:p>
        </w:tc>
      </w:tr>
      <w:tr>
        <w:tc>
          <w:tcPr>
            <w:tcW w:type="dxa" w:w="1728"/>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Minería de Datos</w:t>
            </w:r>
          </w:p>
        </w:tc>
        <w:tc>
          <w:tcPr>
            <w:tcW w:type="dxa" w:w="259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mining.vw_dataset_fase2</w:t>
            </w:r>
          </w:p>
        </w:tc>
        <w:tc>
          <w:tcPr>
            <w:tcW w:type="dxa" w:w="360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Vista analítica con P75 y demora_alta.</w:t>
            </w:r>
          </w:p>
        </w:tc>
        <w:tc>
          <w:tcPr>
            <w:tcW w:type="dxa" w:w="2808"/>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1,312,465 filas; 63,467 duraciones NULL.</w:t>
            </w:r>
          </w:p>
        </w:tc>
      </w:tr>
      <w:tr>
        <w:tc>
          <w:tcPr>
            <w:tcW w:type="dxa" w:w="1728"/>
            <w:vAlign w:val="center"/>
            <w:tcMar>
              <w:top w:w="90" w:type="dxa"/>
              <w:start w:w="110" w:type="dxa"/>
              <w:bottom w:w="90" w:type="dxa"/>
              <w:end w:w="110" w:type="dxa"/>
            </w:tcMar>
          </w:tcPr>
          <w:p>
            <w:pPr>
              <w:spacing w:after="0" w:line="252" w:lineRule="auto"/>
            </w:pPr>
            <w:r/>
            <w:r>
              <w:rPr>
                <w:rFonts w:ascii="Arial" w:hAnsi="Arial"/>
                <w:b w:val="0"/>
                <w:color w:val="000000"/>
                <w:sz w:val="15"/>
              </w:rPr>
              <w:t>Integración BI</w:t>
            </w:r>
          </w:p>
        </w:tc>
        <w:tc>
          <w:tcPr>
            <w:tcW w:type="dxa" w:w="2592"/>
            <w:vAlign w:val="center"/>
            <w:tcMar>
              <w:top w:w="90" w:type="dxa"/>
              <w:start w:w="110" w:type="dxa"/>
              <w:bottom w:w="90" w:type="dxa"/>
              <w:end w:w="110" w:type="dxa"/>
            </w:tcMar>
          </w:tcPr>
          <w:p>
            <w:pPr>
              <w:spacing w:after="0" w:line="252" w:lineRule="auto"/>
            </w:pPr>
            <w:r/>
            <w:r>
              <w:rPr>
                <w:rFonts w:ascii="Arial" w:hAnsi="Arial"/>
                <w:b w:val="0"/>
                <w:color w:val="000000"/>
                <w:sz w:val="15"/>
              </w:rPr>
              <w:t>bi.vw_solicitudes_segmentadas</w:t>
            </w:r>
          </w:p>
        </w:tc>
        <w:tc>
          <w:tcPr>
            <w:tcW w:type="dxa" w:w="3600"/>
            <w:vAlign w:val="center"/>
            <w:tcMar>
              <w:top w:w="90" w:type="dxa"/>
              <w:start w:w="110" w:type="dxa"/>
              <w:bottom w:w="90" w:type="dxa"/>
              <w:end w:w="110" w:type="dxa"/>
            </w:tcMar>
          </w:tcPr>
          <w:p>
            <w:pPr>
              <w:spacing w:after="0" w:line="252" w:lineRule="auto"/>
            </w:pPr>
            <w:r/>
            <w:r>
              <w:rPr>
                <w:rFonts w:ascii="Arial" w:hAnsi="Arial"/>
                <w:b w:val="0"/>
                <w:color w:val="000000"/>
                <w:sz w:val="15"/>
              </w:rPr>
              <w:t>LEFT JOIN nulo-seguro con 481 perfiles de la ejecución actual.</w:t>
            </w:r>
          </w:p>
        </w:tc>
        <w:tc>
          <w:tcPr>
            <w:tcW w:type="dxa" w:w="2808"/>
            <w:vAlign w:val="center"/>
            <w:tcMar>
              <w:top w:w="90" w:type="dxa"/>
              <w:start w:w="110" w:type="dxa"/>
              <w:bottom w:w="90" w:type="dxa"/>
              <w:end w:w="110" w:type="dxa"/>
            </w:tcMar>
          </w:tcPr>
          <w:p>
            <w:pPr>
              <w:spacing w:after="0" w:line="252" w:lineRule="auto"/>
            </w:pPr>
            <w:r/>
            <w:r>
              <w:rPr>
                <w:rFonts w:ascii="Arial" w:hAnsi="Arial"/>
                <w:b w:val="0"/>
                <w:color w:val="000000"/>
                <w:sz w:val="15"/>
              </w:rPr>
              <w:t>1,312,465 filas (1,298,155 con perfil, 14,310 sin perfil).</w:t>
            </w:r>
          </w:p>
        </w:tc>
      </w:tr>
      <w:tr>
        <w:tc>
          <w:tcPr>
            <w:tcW w:type="dxa" w:w="1728"/>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Presentación BI</w:t>
            </w:r>
          </w:p>
        </w:tc>
        <w:tc>
          <w:tcPr>
            <w:tcW w:type="dxa" w:w="259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NYC311_Fase3_Codigo.pbip/.pbix</w:t>
            </w:r>
          </w:p>
        </w:tc>
        <w:tc>
          <w:tcPr>
            <w:tcW w:type="dxa" w:w="360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Consumo interactivo en Power BI Desktop (Import).</w:t>
            </w:r>
          </w:p>
        </w:tc>
        <w:tc>
          <w:tcPr>
            <w:tcW w:type="dxa" w:w="2808"/>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Recuento distinto = 1,312,465 exactos.</w:t>
            </w:r>
          </w:p>
        </w:tc>
      </w:tr>
    </w:tbl>
    <w:p>
      <w:pPr>
        <w:spacing w:after="20"/>
        <w:widowControl w:val="1"/>
      </w:pPr>
    </w:p>
    <w:p>
      <w:pPr>
        <w:pStyle w:val="Heading1"/>
        <w:widowControl w:val="1"/>
      </w:pPr>
      <w:r>
        <w:t>5 Evidencia de la Fase 1: Data Warehouse y ETL</w:t>
      </w:r>
    </w:p>
    <w:p>
      <w:pPr>
        <w:widowControl w:val="1"/>
      </w:pPr>
      <w:r>
        <w:rPr>
          <w:rFonts w:ascii="Arial" w:hAnsi="Arial"/>
          <w:b w:val="0"/>
          <w:i w:val="0"/>
          <w:color w:val="000000"/>
          <w:sz w:val="20"/>
        </w:rPr>
        <w:t>La Fase 1 implementó el esquema dimensional estrella en SQL Server con dw.FactSolicitud en el centro y 6 dimensiones conformadas. La clave codigo_solicitud posee restricción de unicidad, asegurando que ninguna solicitud se duplique.</w:t>
      </w:r>
    </w:p>
    <w:tbl>
      <w:tblPr>
        <w:tblW w:type="auto" w:w="0"/>
        <w:jc w:val="center"/>
        <w:tblLayout w:type="autofit"/>
        <w:tblLook w:firstColumn="1" w:firstRow="1" w:lastColumn="0" w:lastRow="0" w:noHBand="0" w:noVBand="1" w:val="04A0"/>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Pr>
      <w:tblGrid>
        <w:gridCol w:w="3389"/>
        <w:gridCol w:w="3389"/>
        <w:gridCol w:w="3389"/>
      </w:tblGrid>
      <w:tr>
        <w:trPr>
          <w:tblHeader w:val="true"/>
        </w:trPr>
        <w:tc>
          <w:tcPr>
            <w:tcW w:type="dxa" w:w="2304"/>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Tabla</w:t>
            </w:r>
          </w:p>
        </w:tc>
        <w:tc>
          <w:tcPr>
            <w:tcW w:type="dxa" w:w="2592"/>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Tipo / Clave</w:t>
            </w:r>
          </w:p>
        </w:tc>
        <w:tc>
          <w:tcPr>
            <w:tcW w:type="dxa" w:w="5832"/>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Atributos Principales</w:t>
            </w:r>
          </w:p>
        </w:tc>
      </w:tr>
      <w:tr>
        <w:tc>
          <w:tcPr>
            <w:tcW w:type="dxa" w:w="2304"/>
            <w:vAlign w:val="center"/>
            <w:tcMar>
              <w:top w:w="90" w:type="dxa"/>
              <w:start w:w="110" w:type="dxa"/>
              <w:bottom w:w="90" w:type="dxa"/>
              <w:end w:w="110" w:type="dxa"/>
            </w:tcMar>
          </w:tcPr>
          <w:p>
            <w:pPr>
              <w:spacing w:after="0" w:line="252" w:lineRule="auto"/>
            </w:pPr>
            <w:r/>
            <w:r>
              <w:rPr>
                <w:rFonts w:ascii="Arial" w:hAnsi="Arial"/>
                <w:b w:val="0"/>
                <w:color w:val="000000"/>
                <w:sz w:val="16"/>
              </w:rPr>
              <w:t>dw.FactSolicitud</w:t>
            </w:r>
          </w:p>
        </w:tc>
        <w:tc>
          <w:tcPr>
            <w:tcW w:type="dxa" w:w="2592"/>
            <w:vAlign w:val="center"/>
            <w:tcMar>
              <w:top w:w="90" w:type="dxa"/>
              <w:start w:w="110" w:type="dxa"/>
              <w:bottom w:w="90" w:type="dxa"/>
              <w:end w:w="110" w:type="dxa"/>
            </w:tcMar>
          </w:tcPr>
          <w:p>
            <w:pPr>
              <w:spacing w:after="0" w:line="252" w:lineRule="auto"/>
            </w:pPr>
            <w:r/>
            <w:r>
              <w:rPr>
                <w:rFonts w:ascii="Arial" w:hAnsi="Arial"/>
                <w:b w:val="0"/>
                <w:color w:val="000000"/>
                <w:sz w:val="16"/>
              </w:rPr>
              <w:t>Hechos (1 fila/ticket)</w:t>
            </w:r>
          </w:p>
        </w:tc>
        <w:tc>
          <w:tcPr>
            <w:tcW w:type="dxa" w:w="5832"/>
            <w:vAlign w:val="center"/>
            <w:tcMar>
              <w:top w:w="90" w:type="dxa"/>
              <w:start w:w="110" w:type="dxa"/>
              <w:bottom w:w="90" w:type="dxa"/>
              <w:end w:w="110" w:type="dxa"/>
            </w:tcMar>
          </w:tcPr>
          <w:p>
            <w:pPr>
              <w:spacing w:after="0" w:line="252" w:lineRule="auto"/>
            </w:pPr>
            <w:r/>
            <w:r>
              <w:rPr>
                <w:rFonts w:ascii="Arial" w:hAnsi="Arial"/>
                <w:b w:val="0"/>
                <w:color w:val="000000"/>
                <w:sz w:val="16"/>
              </w:rPr>
              <w:t>codigo_solicitud, fecha_creacion_key, fecha_cierre_key, minutos_resolucion, latitude, longitude.</w:t>
            </w:r>
          </w:p>
        </w:tc>
      </w:tr>
      <w:tr>
        <w:tc>
          <w:tcPr>
            <w:tcW w:type="dxa" w:w="230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dw.DimFecha</w:t>
            </w:r>
          </w:p>
        </w:tc>
        <w:tc>
          <w:tcPr>
            <w:tcW w:type="dxa" w:w="259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Dimensión (fecha_key)</w:t>
            </w:r>
          </w:p>
        </w:tc>
        <w:tc>
          <w:tcPr>
            <w:tcW w:type="dxa" w:w="583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fecha, anio, trimestre, mes, nombre_mes, dia, dia_semana. Rol para creación y cierre.</w:t>
            </w:r>
          </w:p>
        </w:tc>
      </w:tr>
      <w:tr>
        <w:tc>
          <w:tcPr>
            <w:tcW w:type="dxa" w:w="2304"/>
            <w:vAlign w:val="center"/>
            <w:tcMar>
              <w:top w:w="90" w:type="dxa"/>
              <w:start w:w="110" w:type="dxa"/>
              <w:bottom w:w="90" w:type="dxa"/>
              <w:end w:w="110" w:type="dxa"/>
            </w:tcMar>
          </w:tcPr>
          <w:p>
            <w:pPr>
              <w:spacing w:after="0" w:line="252" w:lineRule="auto"/>
            </w:pPr>
            <w:r/>
            <w:r>
              <w:rPr>
                <w:rFonts w:ascii="Arial" w:hAnsi="Arial"/>
                <w:b w:val="0"/>
                <w:color w:val="000000"/>
                <w:sz w:val="16"/>
              </w:rPr>
              <w:t>dw.DimAgencia</w:t>
            </w:r>
          </w:p>
        </w:tc>
        <w:tc>
          <w:tcPr>
            <w:tcW w:type="dxa" w:w="2592"/>
            <w:vAlign w:val="center"/>
            <w:tcMar>
              <w:top w:w="90" w:type="dxa"/>
              <w:start w:w="110" w:type="dxa"/>
              <w:bottom w:w="90" w:type="dxa"/>
              <w:end w:w="110" w:type="dxa"/>
            </w:tcMar>
          </w:tcPr>
          <w:p>
            <w:pPr>
              <w:spacing w:after="0" w:line="252" w:lineRule="auto"/>
            </w:pPr>
            <w:r/>
            <w:r>
              <w:rPr>
                <w:rFonts w:ascii="Arial" w:hAnsi="Arial"/>
                <w:b w:val="0"/>
                <w:color w:val="000000"/>
                <w:sz w:val="16"/>
              </w:rPr>
              <w:t>Dimensión (agencia_key)</w:t>
            </w:r>
          </w:p>
        </w:tc>
        <w:tc>
          <w:tcPr>
            <w:tcW w:type="dxa" w:w="5832"/>
            <w:vAlign w:val="center"/>
            <w:tcMar>
              <w:top w:w="90" w:type="dxa"/>
              <w:start w:w="110" w:type="dxa"/>
              <w:bottom w:w="90" w:type="dxa"/>
              <w:end w:w="110" w:type="dxa"/>
            </w:tcMar>
          </w:tcPr>
          <w:p>
            <w:pPr>
              <w:spacing w:after="0" w:line="252" w:lineRule="auto"/>
            </w:pPr>
            <w:r/>
            <w:r>
              <w:rPr>
                <w:rFonts w:ascii="Arial" w:hAnsi="Arial"/>
                <w:b w:val="0"/>
                <w:color w:val="000000"/>
                <w:sz w:val="16"/>
              </w:rPr>
              <w:t>agency (código corto), agency_name (nombre completo oficial).</w:t>
            </w:r>
          </w:p>
        </w:tc>
      </w:tr>
      <w:tr>
        <w:tc>
          <w:tcPr>
            <w:tcW w:type="dxa" w:w="230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dw.DimProblema</w:t>
            </w:r>
          </w:p>
        </w:tc>
        <w:tc>
          <w:tcPr>
            <w:tcW w:type="dxa" w:w="259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Dimensión (problema_key)</w:t>
            </w:r>
          </w:p>
        </w:tc>
        <w:tc>
          <w:tcPr>
            <w:tcW w:type="dxa" w:w="583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complaint_type, descriptor, descriptor_2.</w:t>
            </w:r>
          </w:p>
        </w:tc>
      </w:tr>
      <w:tr>
        <w:tc>
          <w:tcPr>
            <w:tcW w:type="dxa" w:w="2304"/>
            <w:vAlign w:val="center"/>
            <w:tcMar>
              <w:top w:w="90" w:type="dxa"/>
              <w:start w:w="110" w:type="dxa"/>
              <w:bottom w:w="90" w:type="dxa"/>
              <w:end w:w="110" w:type="dxa"/>
            </w:tcMar>
          </w:tcPr>
          <w:p>
            <w:pPr>
              <w:spacing w:after="0" w:line="252" w:lineRule="auto"/>
            </w:pPr>
            <w:r/>
            <w:r>
              <w:rPr>
                <w:rFonts w:ascii="Arial" w:hAnsi="Arial"/>
                <w:b w:val="0"/>
                <w:color w:val="000000"/>
                <w:sz w:val="16"/>
              </w:rPr>
              <w:t>dw.DimGeografia</w:t>
            </w:r>
          </w:p>
        </w:tc>
        <w:tc>
          <w:tcPr>
            <w:tcW w:type="dxa" w:w="2592"/>
            <w:vAlign w:val="center"/>
            <w:tcMar>
              <w:top w:w="90" w:type="dxa"/>
              <w:start w:w="110" w:type="dxa"/>
              <w:bottom w:w="90" w:type="dxa"/>
              <w:end w:w="110" w:type="dxa"/>
            </w:tcMar>
          </w:tcPr>
          <w:p>
            <w:pPr>
              <w:spacing w:after="0" w:line="252" w:lineRule="auto"/>
            </w:pPr>
            <w:r/>
            <w:r>
              <w:rPr>
                <w:rFonts w:ascii="Arial" w:hAnsi="Arial"/>
                <w:b w:val="0"/>
                <w:color w:val="000000"/>
                <w:sz w:val="16"/>
              </w:rPr>
              <w:t>Dimensión (geografia_key)</w:t>
            </w:r>
          </w:p>
        </w:tc>
        <w:tc>
          <w:tcPr>
            <w:tcW w:type="dxa" w:w="5832"/>
            <w:vAlign w:val="center"/>
            <w:tcMar>
              <w:top w:w="90" w:type="dxa"/>
              <w:start w:w="110" w:type="dxa"/>
              <w:bottom w:w="90" w:type="dxa"/>
              <w:end w:w="110" w:type="dxa"/>
            </w:tcMar>
          </w:tcPr>
          <w:p>
            <w:pPr>
              <w:spacing w:after="0" w:line="252" w:lineRule="auto"/>
            </w:pPr>
            <w:r/>
            <w:r>
              <w:rPr>
                <w:rFonts w:ascii="Arial" w:hAnsi="Arial"/>
                <w:b w:val="0"/>
                <w:color w:val="000000"/>
                <w:sz w:val="16"/>
              </w:rPr>
              <w:t>borough (5 distritos), incident_zip, community_board, police_precinct.</w:t>
            </w:r>
          </w:p>
        </w:tc>
      </w:tr>
      <w:tr>
        <w:tc>
          <w:tcPr>
            <w:tcW w:type="dxa" w:w="230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dw.DimEstado</w:t>
            </w:r>
          </w:p>
        </w:tc>
        <w:tc>
          <w:tcPr>
            <w:tcW w:type="dxa" w:w="259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Dimensión (estado_key)</w:t>
            </w:r>
          </w:p>
        </w:tc>
        <w:tc>
          <w:tcPr>
            <w:tcW w:type="dxa" w:w="583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status (Closed, Open, Pending, In Progress, Assigned).</w:t>
            </w:r>
          </w:p>
        </w:tc>
      </w:tr>
      <w:tr>
        <w:tc>
          <w:tcPr>
            <w:tcW w:type="dxa" w:w="2304"/>
            <w:vAlign w:val="center"/>
            <w:tcMar>
              <w:top w:w="90" w:type="dxa"/>
              <w:start w:w="110" w:type="dxa"/>
              <w:bottom w:w="90" w:type="dxa"/>
              <w:end w:w="110" w:type="dxa"/>
            </w:tcMar>
          </w:tcPr>
          <w:p>
            <w:pPr>
              <w:spacing w:after="0" w:line="252" w:lineRule="auto"/>
            </w:pPr>
            <w:r/>
            <w:r>
              <w:rPr>
                <w:rFonts w:ascii="Arial" w:hAnsi="Arial"/>
                <w:b w:val="0"/>
                <w:color w:val="000000"/>
                <w:sz w:val="16"/>
              </w:rPr>
              <w:t>dw.DimCanal</w:t>
            </w:r>
          </w:p>
        </w:tc>
        <w:tc>
          <w:tcPr>
            <w:tcW w:type="dxa" w:w="2592"/>
            <w:vAlign w:val="center"/>
            <w:tcMar>
              <w:top w:w="90" w:type="dxa"/>
              <w:start w:w="110" w:type="dxa"/>
              <w:bottom w:w="90" w:type="dxa"/>
              <w:end w:w="110" w:type="dxa"/>
            </w:tcMar>
          </w:tcPr>
          <w:p>
            <w:pPr>
              <w:spacing w:after="0" w:line="252" w:lineRule="auto"/>
            </w:pPr>
            <w:r/>
            <w:r>
              <w:rPr>
                <w:rFonts w:ascii="Arial" w:hAnsi="Arial"/>
                <w:b w:val="0"/>
                <w:color w:val="000000"/>
                <w:sz w:val="16"/>
              </w:rPr>
              <w:t>Dimensión (canal_key)</w:t>
            </w:r>
          </w:p>
        </w:tc>
        <w:tc>
          <w:tcPr>
            <w:tcW w:type="dxa" w:w="5832"/>
            <w:vAlign w:val="center"/>
            <w:tcMar>
              <w:top w:w="90" w:type="dxa"/>
              <w:start w:w="110" w:type="dxa"/>
              <w:bottom w:w="90" w:type="dxa"/>
              <w:end w:w="110" w:type="dxa"/>
            </w:tcMar>
          </w:tcPr>
          <w:p>
            <w:pPr>
              <w:spacing w:after="0" w:line="252" w:lineRule="auto"/>
            </w:pPr>
            <w:r/>
            <w:r>
              <w:rPr>
                <w:rFonts w:ascii="Arial" w:hAnsi="Arial"/>
                <w:b w:val="0"/>
                <w:color w:val="000000"/>
                <w:sz w:val="16"/>
              </w:rPr>
              <w:t>open_data_channel_type (Phone, Online, Mobile, Other, Unknown).</w:t>
            </w:r>
          </w:p>
        </w:tc>
      </w:tr>
    </w:tbl>
    <w:p>
      <w:pPr>
        <w:spacing w:after="20"/>
        <w:widowControl w:val="1"/>
      </w:pPr>
    </w:p>
    <w:p>
      <w:pPr>
        <w:pStyle w:val="Heading1"/>
        <w:widowControl w:val="1"/>
      </w:pPr>
      <w:r>
        <w:t>6 Evidencia de la Fase 2: Minería de Datos (Árbol y K-Means)</w:t>
      </w:r>
    </w:p>
    <w:p>
      <w:pPr>
        <w:widowControl w:val="1"/>
      </w:pPr>
      <w:r>
        <w:rPr>
          <w:rFonts w:ascii="Arial" w:hAnsi="Arial"/>
          <w:b w:val="0"/>
          <w:i w:val="0"/>
          <w:color w:val="000000"/>
          <w:sz w:val="20"/>
        </w:rPr>
        <w:t>El experimento F2 original aplicó el proceso KDD sobre mining.vw_dataset_fase2 en la ventana abril–julio. El corte de demora alta se definió en el percentil 75 de duraciones observadas: P75 = 4,329 minutos (~72.2 horas). Las 63,079 solicitudes de ese snapshot sin fecha de cierre se mantuvieron como NULL. La publicación actual de Fase 3 consulta el rango disponible del DW y conserva la misma semántica del umbral, con 63,467 solicitudes sin duración.</w:t>
      </w:r>
    </w:p>
    <w:tbl>
      <w:tblPr>
        <w:tblW w:type="auto" w:w="0"/>
        <w:jc w:val="center"/>
        <w:tblLayout w:type="autofit"/>
        <w:tblLook w:firstColumn="1" w:firstRow="1" w:lastColumn="0" w:lastRow="0" w:noHBand="0" w:noVBand="1" w:val="04A0"/>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Pr>
      <w:tblGrid>
        <w:gridCol w:w="3389"/>
        <w:gridCol w:w="3389"/>
        <w:gridCol w:w="3389"/>
      </w:tblGrid>
      <w:tr>
        <w:trPr>
          <w:tblHeader w:val="true"/>
        </w:trPr>
        <w:tc>
          <w:tcPr>
            <w:tcW w:type="dxa" w:w="2592"/>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Métrica / Componente</w:t>
            </w:r>
          </w:p>
        </w:tc>
        <w:tc>
          <w:tcPr>
            <w:tcW w:type="dxa" w:w="3600"/>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Resultado Verificado</w:t>
            </w:r>
          </w:p>
        </w:tc>
        <w:tc>
          <w:tcPr>
            <w:tcW w:type="dxa" w:w="4536"/>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Interpretación Operativa</w:t>
            </w:r>
          </w:p>
        </w:tc>
      </w:tr>
      <w:tr>
        <w:tc>
          <w:tcPr>
            <w:tcW w:type="dxa" w:w="2592"/>
            <w:vAlign w:val="center"/>
            <w:tcMar>
              <w:top w:w="90" w:type="dxa"/>
              <w:start w:w="110" w:type="dxa"/>
              <w:bottom w:w="90" w:type="dxa"/>
              <w:end w:w="110" w:type="dxa"/>
            </w:tcMar>
          </w:tcPr>
          <w:p>
            <w:pPr>
              <w:spacing w:after="0" w:line="252" w:lineRule="auto"/>
            </w:pPr>
            <w:r/>
            <w:r>
              <w:rPr>
                <w:rFonts w:ascii="Arial" w:hAnsi="Arial"/>
                <w:b w:val="0"/>
                <w:color w:val="000000"/>
                <w:sz w:val="16"/>
              </w:rPr>
              <w:t>Universo BI actual</w:t>
            </w:r>
          </w:p>
        </w:tc>
        <w:tc>
          <w:tcPr>
            <w:tcW w:type="dxa" w:w="3600"/>
            <w:vAlign w:val="center"/>
            <w:tcMar>
              <w:top w:w="90" w:type="dxa"/>
              <w:start w:w="110" w:type="dxa"/>
              <w:bottom w:w="90" w:type="dxa"/>
              <w:end w:w="110" w:type="dxa"/>
            </w:tcMar>
          </w:tcPr>
          <w:p>
            <w:pPr>
              <w:spacing w:after="0" w:line="252" w:lineRule="auto"/>
            </w:pPr>
            <w:r/>
            <w:r>
              <w:rPr>
                <w:rFonts w:ascii="Arial" w:hAnsi="Arial"/>
                <w:b w:val="0"/>
                <w:color w:val="000000"/>
                <w:sz w:val="16"/>
              </w:rPr>
              <w:t>1,312,465 solicitudes</w:t>
            </w:r>
          </w:p>
        </w:tc>
        <w:tc>
          <w:tcPr>
            <w:tcW w:type="dxa" w:w="4536"/>
            <w:vAlign w:val="center"/>
            <w:tcMar>
              <w:top w:w="90" w:type="dxa"/>
              <w:start w:w="110" w:type="dxa"/>
              <w:bottom w:w="90" w:type="dxa"/>
              <w:end w:w="110" w:type="dxa"/>
            </w:tcMar>
          </w:tcPr>
          <w:p>
            <w:pPr>
              <w:spacing w:after="0" w:line="252" w:lineRule="auto"/>
            </w:pPr>
            <w:r/>
            <w:r>
              <w:rPr>
                <w:rFonts w:ascii="Arial" w:hAnsi="Arial"/>
                <w:b w:val="0"/>
                <w:color w:val="000000"/>
                <w:sz w:val="16"/>
              </w:rPr>
              <w:t>1,248,998 con duración; 313,360 demoras altas y 63,467 sin duración.</w:t>
            </w:r>
          </w:p>
        </w:tc>
      </w:tr>
      <w:tr>
        <w:tc>
          <w:tcPr>
            <w:tcW w:type="dxa" w:w="259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Árbol CART (Recall)</w:t>
            </w:r>
          </w:p>
        </w:tc>
        <w:tc>
          <w:tcPr>
            <w:tcW w:type="dxa" w:w="360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95.15% en conjunto de test F2</w:t>
            </w:r>
          </w:p>
        </w:tc>
        <w:tc>
          <w:tcPr>
            <w:tcW w:type="dxa" w:w="4536"/>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Detecta 58,549 de 61,531 demoras críticas; solo 2,982 falsos negativos en el snapshot original.</w:t>
            </w:r>
          </w:p>
        </w:tc>
      </w:tr>
      <w:tr>
        <w:tc>
          <w:tcPr>
            <w:tcW w:type="dxa" w:w="2592"/>
            <w:vAlign w:val="center"/>
            <w:tcMar>
              <w:top w:w="90" w:type="dxa"/>
              <w:start w:w="110" w:type="dxa"/>
              <w:bottom w:w="90" w:type="dxa"/>
              <w:end w:w="110" w:type="dxa"/>
            </w:tcMar>
          </w:tcPr>
          <w:p>
            <w:pPr>
              <w:spacing w:after="0" w:line="252" w:lineRule="auto"/>
            </w:pPr>
            <w:r/>
            <w:r>
              <w:rPr>
                <w:rFonts w:ascii="Arial" w:hAnsi="Arial"/>
                <w:b w:val="0"/>
                <w:color w:val="000000"/>
                <w:sz w:val="16"/>
              </w:rPr>
              <w:t>Árbol CART (ROC-AUC)</w:t>
            </w:r>
          </w:p>
        </w:tc>
        <w:tc>
          <w:tcPr>
            <w:tcW w:type="dxa" w:w="3600"/>
            <w:vAlign w:val="center"/>
            <w:tcMar>
              <w:top w:w="90" w:type="dxa"/>
              <w:start w:w="110" w:type="dxa"/>
              <w:bottom w:w="90" w:type="dxa"/>
              <w:end w:w="110" w:type="dxa"/>
            </w:tcMar>
          </w:tcPr>
          <w:p>
            <w:pPr>
              <w:spacing w:after="0" w:line="252" w:lineRule="auto"/>
            </w:pPr>
            <w:r/>
            <w:r>
              <w:rPr>
                <w:rFonts w:ascii="Arial" w:hAnsi="Arial"/>
                <w:b w:val="0"/>
                <w:color w:val="000000"/>
                <w:sz w:val="16"/>
              </w:rPr>
              <w:t>0.952 en conjunto de test</w:t>
            </w:r>
          </w:p>
        </w:tc>
        <w:tc>
          <w:tcPr>
            <w:tcW w:type="dxa" w:w="4536"/>
            <w:vAlign w:val="center"/>
            <w:tcMar>
              <w:top w:w="90" w:type="dxa"/>
              <w:start w:w="110" w:type="dxa"/>
              <w:bottom w:w="90" w:type="dxa"/>
              <w:end w:w="110" w:type="dxa"/>
            </w:tcMar>
          </w:tcPr>
          <w:p>
            <w:pPr>
              <w:spacing w:after="0" w:line="252" w:lineRule="auto"/>
            </w:pPr>
            <w:r/>
            <w:r>
              <w:rPr>
                <w:rFonts w:ascii="Arial" w:hAnsi="Arial"/>
                <w:b w:val="0"/>
                <w:color w:val="000000"/>
                <w:sz w:val="16"/>
              </w:rPr>
              <w:t>Excelente capacidad de discriminación preventiva sin fuga de datos.</w:t>
            </w:r>
          </w:p>
        </w:tc>
      </w:tr>
      <w:tr>
        <w:tc>
          <w:tcPr>
            <w:tcW w:type="dxa" w:w="259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K-Means (Perfiles)</w:t>
            </w:r>
          </w:p>
        </w:tc>
        <w:tc>
          <w:tcPr>
            <w:tcW w:type="dxa" w:w="360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481 perfiles elegibles (K=3) en publicación actual</w:t>
            </w:r>
          </w:p>
        </w:tc>
        <w:tc>
          <w:tcPr>
            <w:tcW w:type="dxa" w:w="4536"/>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Reejecución del pipeline sobre el rango disponible; la evidencia F2 original conserva 480 perfiles.</w:t>
            </w:r>
          </w:p>
        </w:tc>
      </w:tr>
      <w:tr>
        <w:tc>
          <w:tcPr>
            <w:tcW w:type="dxa" w:w="2592"/>
            <w:vAlign w:val="center"/>
            <w:tcMar>
              <w:top w:w="90" w:type="dxa"/>
              <w:start w:w="110" w:type="dxa"/>
              <w:bottom w:w="90" w:type="dxa"/>
              <w:end w:w="110" w:type="dxa"/>
            </w:tcMar>
          </w:tcPr>
          <w:p>
            <w:pPr>
              <w:spacing w:after="0" w:line="252" w:lineRule="auto"/>
            </w:pPr>
            <w:r/>
            <w:r>
              <w:rPr>
                <w:rFonts w:ascii="Arial" w:hAnsi="Arial"/>
                <w:b w:val="0"/>
                <w:color w:val="000000"/>
                <w:sz w:val="16"/>
              </w:rPr>
              <w:t>K-Means (Silhouette)</w:t>
            </w:r>
          </w:p>
        </w:tc>
        <w:tc>
          <w:tcPr>
            <w:tcW w:type="dxa" w:w="3600"/>
            <w:vAlign w:val="center"/>
            <w:tcMar>
              <w:top w:w="90" w:type="dxa"/>
              <w:start w:w="110" w:type="dxa"/>
              <w:bottom w:w="90" w:type="dxa"/>
              <w:end w:w="110" w:type="dxa"/>
            </w:tcMar>
          </w:tcPr>
          <w:p>
            <w:pPr>
              <w:spacing w:after="0" w:line="252" w:lineRule="auto"/>
            </w:pPr>
            <w:r/>
            <w:r>
              <w:rPr>
                <w:rFonts w:ascii="Arial" w:hAnsi="Arial"/>
                <w:b w:val="0"/>
                <w:color w:val="000000"/>
                <w:sz w:val="16"/>
              </w:rPr>
              <w:t>Documentada por el notebook</w:t>
            </w:r>
          </w:p>
        </w:tc>
        <w:tc>
          <w:tcPr>
            <w:tcW w:type="dxa" w:w="4536"/>
            <w:vAlign w:val="center"/>
            <w:tcMar>
              <w:top w:w="90" w:type="dxa"/>
              <w:start w:w="110" w:type="dxa"/>
              <w:bottom w:w="90" w:type="dxa"/>
              <w:end w:w="110" w:type="dxa"/>
            </w:tcMar>
          </w:tcPr>
          <w:p>
            <w:pPr>
              <w:spacing w:after="0" w:line="252" w:lineRule="auto"/>
            </w:pPr>
            <w:r/>
            <w:r>
              <w:rPr>
                <w:rFonts w:ascii="Arial" w:hAnsi="Arial"/>
                <w:b w:val="0"/>
                <w:color w:val="000000"/>
                <w:sz w:val="16"/>
              </w:rPr>
              <w:t>Separación útil pero moderada; no se interpreta como una frontera absoluta.</w:t>
            </w:r>
          </w:p>
        </w:tc>
      </w:tr>
    </w:tbl>
    <w:p>
      <w:pPr>
        <w:spacing w:after="20"/>
        <w:widowControl w:val="1"/>
      </w:pPr>
    </w:p>
    <w:p>
      <w:pPr>
        <w:pStyle w:val="Heading2"/>
        <w:widowControl w:val="1"/>
      </w:pPr>
      <w:r>
        <w:t>Resumen de los tres clústeres K-Means y cobertura</w:t>
      </w:r>
    </w:p>
    <w:tbl>
      <w:tblPr>
        <w:tblW w:type="auto" w:w="0"/>
        <w:jc w:val="center"/>
        <w:tblLayout w:type="autofit"/>
        <w:tblLook w:firstColumn="1" w:firstRow="1" w:lastColumn="0" w:lastRow="0" w:noHBand="0" w:noVBand="1" w:val="04A0"/>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Pr>
      <w:tblGrid>
        <w:gridCol w:w="1694"/>
        <w:gridCol w:w="1694"/>
        <w:gridCol w:w="1694"/>
        <w:gridCol w:w="1694"/>
        <w:gridCol w:w="1694"/>
        <w:gridCol w:w="1694"/>
      </w:tblGrid>
      <w:tr>
        <w:trPr>
          <w:tblHeader w:val="true"/>
        </w:trPr>
        <w:tc>
          <w:tcPr>
            <w:tcW w:type="dxa" w:w="3528"/>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Clúster</w:t>
            </w:r>
          </w:p>
        </w:tc>
        <w:tc>
          <w:tcPr>
            <w:tcW w:type="dxa" w:w="1080"/>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Perfiles</w:t>
            </w:r>
          </w:p>
        </w:tc>
        <w:tc>
          <w:tcPr>
            <w:tcW w:type="dxa" w:w="1512"/>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Solicitudes</w:t>
            </w:r>
          </w:p>
        </w:tc>
        <w:tc>
          <w:tcPr>
            <w:tcW w:type="dxa" w:w="1584"/>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Mediana min</w:t>
            </w:r>
          </w:p>
        </w:tc>
        <w:tc>
          <w:tcPr>
            <w:tcW w:type="dxa" w:w="1440"/>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 Demora alta</w:t>
            </w:r>
          </w:p>
        </w:tc>
        <w:tc>
          <w:tcPr>
            <w:tcW w:type="dxa" w:w="1584"/>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 Sin resolver</w:t>
            </w:r>
          </w:p>
        </w:tc>
      </w:tr>
      <w:tr>
        <w:tc>
          <w:tcPr>
            <w:tcW w:type="dxa" w:w="3528"/>
            <w:vAlign w:val="center"/>
            <w:tcMar>
              <w:top w:w="90" w:type="dxa"/>
              <w:start w:w="110" w:type="dxa"/>
              <w:bottom w:w="90" w:type="dxa"/>
              <w:end w:w="110" w:type="dxa"/>
            </w:tcMar>
          </w:tcPr>
          <w:p>
            <w:pPr>
              <w:spacing w:after="0" w:line="252" w:lineRule="auto"/>
            </w:pPr>
            <w:r/>
            <w:r>
              <w:rPr>
                <w:rFonts w:ascii="Arial" w:hAnsi="Arial"/>
                <w:b w:val="0"/>
                <w:color w:val="000000"/>
                <w:sz w:val="16"/>
              </w:rPr>
              <w:t>1. Resolución rápida y baja demora</w:t>
            </w:r>
          </w:p>
        </w:tc>
        <w:tc>
          <w:tcPr>
            <w:tcW w:type="dxa" w:w="1080"/>
            <w:vAlign w:val="center"/>
            <w:tcMar>
              <w:top w:w="90" w:type="dxa"/>
              <w:start w:w="110" w:type="dxa"/>
              <w:bottom w:w="90" w:type="dxa"/>
              <w:end w:w="110" w:type="dxa"/>
            </w:tcMar>
          </w:tcPr>
          <w:p>
            <w:pPr>
              <w:spacing w:after="0" w:line="252" w:lineRule="auto"/>
            </w:pPr>
            <w:r/>
            <w:r>
              <w:rPr>
                <w:rFonts w:ascii="Arial" w:hAnsi="Arial"/>
                <w:b w:val="0"/>
                <w:color w:val="000000"/>
                <w:sz w:val="16"/>
              </w:rPr>
              <w:t>203</w:t>
            </w:r>
          </w:p>
        </w:tc>
        <w:tc>
          <w:tcPr>
            <w:tcW w:type="dxa" w:w="1512"/>
            <w:vAlign w:val="center"/>
            <w:tcMar>
              <w:top w:w="90" w:type="dxa"/>
              <w:start w:w="110" w:type="dxa"/>
              <w:bottom w:w="90" w:type="dxa"/>
              <w:end w:w="110" w:type="dxa"/>
            </w:tcMar>
          </w:tcPr>
          <w:p>
            <w:pPr>
              <w:spacing w:after="0" w:line="252" w:lineRule="auto"/>
            </w:pPr>
            <w:r/>
            <w:r>
              <w:rPr>
                <w:rFonts w:ascii="Arial" w:hAnsi="Arial"/>
                <w:b w:val="0"/>
                <w:color w:val="000000"/>
                <w:sz w:val="16"/>
              </w:rPr>
              <w:t>910,529</w:t>
            </w:r>
          </w:p>
        </w:tc>
        <w:tc>
          <w:tcPr>
            <w:tcW w:type="dxa" w:w="1584"/>
            <w:vAlign w:val="center"/>
            <w:tcMar>
              <w:top w:w="90" w:type="dxa"/>
              <w:start w:w="110" w:type="dxa"/>
              <w:bottom w:w="90" w:type="dxa"/>
              <w:end w:w="110" w:type="dxa"/>
            </w:tcMar>
          </w:tcPr>
          <w:p>
            <w:pPr>
              <w:spacing w:after="0" w:line="252" w:lineRule="auto"/>
            </w:pPr>
            <w:r/>
            <w:r>
              <w:rPr>
                <w:rFonts w:ascii="Arial" w:hAnsi="Arial"/>
                <w:b w:val="0"/>
                <w:color w:val="000000"/>
                <w:sz w:val="16"/>
              </w:rPr>
              <w:t>129 (~2.2 h)</w:t>
            </w:r>
          </w:p>
        </w:tc>
        <w:tc>
          <w:tcPr>
            <w:tcW w:type="dxa" w:w="1440"/>
            <w:vAlign w:val="center"/>
            <w:tcMar>
              <w:top w:w="90" w:type="dxa"/>
              <w:start w:w="110" w:type="dxa"/>
              <w:bottom w:w="90" w:type="dxa"/>
              <w:end w:w="110" w:type="dxa"/>
            </w:tcMar>
          </w:tcPr>
          <w:p>
            <w:pPr>
              <w:spacing w:after="0" w:line="252" w:lineRule="auto"/>
            </w:pPr>
            <w:r/>
            <w:r>
              <w:rPr>
                <w:rFonts w:ascii="Arial" w:hAnsi="Arial"/>
                <w:b w:val="0"/>
                <w:color w:val="000000"/>
                <w:sz w:val="16"/>
              </w:rPr>
              <w:t>5.92%</w:t>
            </w:r>
          </w:p>
        </w:tc>
        <w:tc>
          <w:tcPr>
            <w:tcW w:type="dxa" w:w="1584"/>
            <w:vAlign w:val="center"/>
            <w:tcMar>
              <w:top w:w="90" w:type="dxa"/>
              <w:start w:w="110" w:type="dxa"/>
              <w:bottom w:w="90" w:type="dxa"/>
              <w:end w:w="110" w:type="dxa"/>
            </w:tcMar>
          </w:tcPr>
          <w:p>
            <w:pPr>
              <w:spacing w:after="0" w:line="252" w:lineRule="auto"/>
            </w:pPr>
            <w:r/>
            <w:r>
              <w:rPr>
                <w:rFonts w:ascii="Arial" w:hAnsi="Arial"/>
                <w:b w:val="0"/>
                <w:color w:val="000000"/>
                <w:sz w:val="16"/>
              </w:rPr>
              <w:t>1.12%</w:t>
            </w:r>
          </w:p>
        </w:tc>
      </w:tr>
      <w:tr>
        <w:tc>
          <w:tcPr>
            <w:tcW w:type="dxa" w:w="3528"/>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2. Resolución prolongada y alta demora</w:t>
            </w:r>
          </w:p>
        </w:tc>
        <w:tc>
          <w:tcPr>
            <w:tcW w:type="dxa" w:w="108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249</w:t>
            </w:r>
          </w:p>
        </w:tc>
        <w:tc>
          <w:tcPr>
            <w:tcW w:type="dxa" w:w="151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358,005</w:t>
            </w:r>
          </w:p>
        </w:tc>
        <w:tc>
          <w:tcPr>
            <w:tcW w:type="dxa" w:w="158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11,241 (~7.8 días)</w:t>
            </w:r>
          </w:p>
        </w:tc>
        <w:tc>
          <w:tcPr>
            <w:tcW w:type="dxa" w:w="144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75.12%</w:t>
            </w:r>
          </w:p>
        </w:tc>
        <w:tc>
          <w:tcPr>
            <w:tcW w:type="dxa" w:w="158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6.49%</w:t>
            </w:r>
          </w:p>
        </w:tc>
      </w:tr>
      <w:tr>
        <w:tc>
          <w:tcPr>
            <w:tcW w:type="dxa" w:w="3528"/>
            <w:vAlign w:val="center"/>
            <w:tcMar>
              <w:top w:w="90" w:type="dxa"/>
              <w:start w:w="110" w:type="dxa"/>
              <w:bottom w:w="90" w:type="dxa"/>
              <w:end w:w="110" w:type="dxa"/>
            </w:tcMar>
          </w:tcPr>
          <w:p>
            <w:pPr>
              <w:spacing w:after="0" w:line="252" w:lineRule="auto"/>
            </w:pPr>
            <w:r/>
            <w:r>
              <w:rPr>
                <w:rFonts w:ascii="Arial" w:hAnsi="Arial"/>
                <w:b w:val="0"/>
                <w:color w:val="000000"/>
                <w:sz w:val="16"/>
              </w:rPr>
              <w:t>3. Rezago crítico y alta proporción sin resolver</w:t>
            </w:r>
          </w:p>
        </w:tc>
        <w:tc>
          <w:tcPr>
            <w:tcW w:type="dxa" w:w="1080"/>
            <w:vAlign w:val="center"/>
            <w:tcMar>
              <w:top w:w="90" w:type="dxa"/>
              <w:start w:w="110" w:type="dxa"/>
              <w:bottom w:w="90" w:type="dxa"/>
              <w:end w:w="110" w:type="dxa"/>
            </w:tcMar>
          </w:tcPr>
          <w:p>
            <w:pPr>
              <w:spacing w:after="0" w:line="252" w:lineRule="auto"/>
            </w:pPr>
            <w:r/>
            <w:r>
              <w:rPr>
                <w:rFonts w:ascii="Arial" w:hAnsi="Arial"/>
                <w:b w:val="0"/>
                <w:color w:val="000000"/>
                <w:sz w:val="16"/>
              </w:rPr>
              <w:t>29</w:t>
            </w:r>
          </w:p>
        </w:tc>
        <w:tc>
          <w:tcPr>
            <w:tcW w:type="dxa" w:w="1512"/>
            <w:vAlign w:val="center"/>
            <w:tcMar>
              <w:top w:w="90" w:type="dxa"/>
              <w:start w:w="110" w:type="dxa"/>
              <w:bottom w:w="90" w:type="dxa"/>
              <w:end w:w="110" w:type="dxa"/>
            </w:tcMar>
          </w:tcPr>
          <w:p>
            <w:pPr>
              <w:spacing w:after="0" w:line="252" w:lineRule="auto"/>
            </w:pPr>
            <w:r/>
            <w:r>
              <w:rPr>
                <w:rFonts w:ascii="Arial" w:hAnsi="Arial"/>
                <w:b w:val="0"/>
                <w:color w:val="000000"/>
                <w:sz w:val="16"/>
              </w:rPr>
              <w:t>29,621</w:t>
            </w:r>
          </w:p>
        </w:tc>
        <w:tc>
          <w:tcPr>
            <w:tcW w:type="dxa" w:w="1584"/>
            <w:vAlign w:val="center"/>
            <w:tcMar>
              <w:top w:w="90" w:type="dxa"/>
              <w:start w:w="110" w:type="dxa"/>
              <w:bottom w:w="90" w:type="dxa"/>
              <w:end w:w="110" w:type="dxa"/>
            </w:tcMar>
          </w:tcPr>
          <w:p>
            <w:pPr>
              <w:spacing w:after="0" w:line="252" w:lineRule="auto"/>
            </w:pPr>
            <w:r/>
            <w:r>
              <w:rPr>
                <w:rFonts w:ascii="Arial" w:hAnsi="Arial"/>
                <w:b w:val="0"/>
                <w:color w:val="000000"/>
                <w:sz w:val="16"/>
              </w:rPr>
              <w:t>21,277 (~14.8 días)</w:t>
            </w:r>
          </w:p>
        </w:tc>
        <w:tc>
          <w:tcPr>
            <w:tcW w:type="dxa" w:w="1440"/>
            <w:vAlign w:val="center"/>
            <w:tcMar>
              <w:top w:w="90" w:type="dxa"/>
              <w:start w:w="110" w:type="dxa"/>
              <w:bottom w:w="90" w:type="dxa"/>
              <w:end w:w="110" w:type="dxa"/>
            </w:tcMar>
          </w:tcPr>
          <w:p>
            <w:pPr>
              <w:spacing w:after="0" w:line="252" w:lineRule="auto"/>
            </w:pPr>
            <w:r/>
            <w:r>
              <w:rPr>
                <w:rFonts w:ascii="Arial" w:hAnsi="Arial"/>
                <w:b w:val="0"/>
                <w:color w:val="000000"/>
                <w:sz w:val="16"/>
              </w:rPr>
              <w:t>80.26%</w:t>
            </w:r>
          </w:p>
        </w:tc>
        <w:tc>
          <w:tcPr>
            <w:tcW w:type="dxa" w:w="1584"/>
            <w:vAlign w:val="center"/>
            <w:tcMar>
              <w:top w:w="90" w:type="dxa"/>
              <w:start w:w="110" w:type="dxa"/>
              <w:bottom w:w="90" w:type="dxa"/>
              <w:end w:w="110" w:type="dxa"/>
            </w:tcMar>
          </w:tcPr>
          <w:p>
            <w:pPr>
              <w:spacing w:after="0" w:line="252" w:lineRule="auto"/>
            </w:pPr>
            <w:r/>
            <w:r>
              <w:rPr>
                <w:rFonts w:ascii="Arial" w:hAnsi="Arial"/>
                <w:b w:val="0"/>
                <w:color w:val="000000"/>
                <w:sz w:val="16"/>
              </w:rPr>
              <w:t>81.65%</w:t>
            </w:r>
          </w:p>
        </w:tc>
      </w:tr>
      <w:tr>
        <w:tc>
          <w:tcPr>
            <w:tcW w:type="dxa" w:w="3528"/>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Fuera de perfil K-Means</w:t>
            </w:r>
          </w:p>
        </w:tc>
        <w:tc>
          <w:tcPr>
            <w:tcW w:type="dxa" w:w="108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No aplica</w:t>
            </w:r>
          </w:p>
        </w:tc>
        <w:tc>
          <w:tcPr>
            <w:tcW w:type="dxa" w:w="151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14,310</w:t>
            </w:r>
          </w:p>
        </w:tc>
        <w:tc>
          <w:tcPr>
            <w:tcW w:type="dxa" w:w="158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4,255*</w:t>
            </w:r>
          </w:p>
        </w:tc>
        <w:tc>
          <w:tcPr>
            <w:tcW w:type="dxa" w:w="144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49.55%*</w:t>
            </w:r>
          </w:p>
        </w:tc>
        <w:tc>
          <w:tcPr>
            <w:tcW w:type="dxa" w:w="158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41.09%*</w:t>
            </w:r>
          </w:p>
        </w:tc>
      </w:tr>
    </w:tbl>
    <w:p>
      <w:pPr>
        <w:spacing w:after="20"/>
        <w:widowControl w:val="1"/>
      </w:pPr>
    </w:p>
    <w:p>
      <w:pPr>
        <w:widowControl w:val="1"/>
      </w:pPr>
      <w:r>
        <w:rPr>
          <w:rFonts w:ascii="Arial" w:hAnsi="Arial"/>
          <w:b w:val="0"/>
          <w:i w:val="0"/>
          <w:color w:val="000000"/>
          <w:sz w:val="20"/>
        </w:rPr>
        <w:t>La suma de los tres grupos actuales (1,298,155) más los casos fuera de perfil (14,310) totaliza exactamente 1,312,465 solicitudes. En Power BI, la categoría 'Sin perfil K-Means' permite auditar este segmento sin exclusión. *Las tasas y la mediana de la fila fuera de perfil son descriptivas del remanente, no resultados de un clúster modelado.</w:t>
      </w:r>
    </w:p>
    <w:p>
      <w:pPr>
        <w:pStyle w:val="Heading1"/>
        <w:widowControl w:val="1"/>
      </w:pPr>
      <w:r>
        <w:t>7 Diseño del dashboard interactivo Power BI</w:t>
      </w:r>
    </w:p>
    <w:p>
      <w:pPr>
        <w:widowControl w:val="1"/>
      </w:pPr>
      <w:r>
        <w:rPr>
          <w:rFonts w:ascii="Arial" w:hAnsi="Arial"/>
          <w:b w:val="0"/>
          <w:i w:val="0"/>
          <w:color w:val="000000"/>
          <w:sz w:val="20"/>
        </w:rPr>
        <w:t>El reporte Power BI fue construido bajo los formatos abiertos PBIP/PBIR/TMDL y empaquetado en PBIX. Se conecta mediante modo Import a la vista SQL bi.vw_solicitudes_segmentadas, garantizando una experiencia de usuario rápida, robusta y con interactividad total.</w:t>
      </w:r>
    </w:p>
    <w:p>
      <w:pPr>
        <w:pStyle w:val="Heading2"/>
        <w:widowControl w:val="1"/>
      </w:pPr>
      <w:r>
        <w:t>Estructura de las tres páginas analíticas</w:t>
      </w:r>
    </w:p>
    <w:tbl>
      <w:tblPr>
        <w:tblW w:type="auto" w:w="0"/>
        <w:jc w:val="center"/>
        <w:tblLayout w:type="autofit"/>
        <w:tblLook w:firstColumn="1" w:firstRow="1" w:lastColumn="0" w:lastRow="0" w:noHBand="0" w:noVBand="1" w:val="04A0"/>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Pr>
      <w:tblGrid>
        <w:gridCol w:w="3389"/>
        <w:gridCol w:w="3389"/>
        <w:gridCol w:w="3389"/>
      </w:tblGrid>
      <w:tr>
        <w:trPr>
          <w:tblHeader w:val="true"/>
        </w:trPr>
        <w:tc>
          <w:tcPr>
            <w:tcW w:type="dxa" w:w="2304"/>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Página</w:t>
            </w:r>
          </w:p>
        </w:tc>
        <w:tc>
          <w:tcPr>
            <w:tcW w:type="dxa" w:w="3312"/>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Pregunta de Negocio</w:t>
            </w:r>
          </w:p>
        </w:tc>
        <w:tc>
          <w:tcPr>
            <w:tcW w:type="dxa" w:w="5112"/>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Componentes Visuales e Interactividad</w:t>
            </w:r>
          </w:p>
        </w:tc>
      </w:tr>
      <w:tr>
        <w:tc>
          <w:tcPr>
            <w:tcW w:type="dxa" w:w="2304"/>
            <w:vAlign w:val="center"/>
            <w:tcMar>
              <w:top w:w="90" w:type="dxa"/>
              <w:start w:w="110" w:type="dxa"/>
              <w:bottom w:w="90" w:type="dxa"/>
              <w:end w:w="110" w:type="dxa"/>
            </w:tcMar>
          </w:tcPr>
          <w:p>
            <w:pPr>
              <w:spacing w:after="0" w:line="252" w:lineRule="auto"/>
            </w:pPr>
            <w:r/>
            <w:r>
              <w:rPr>
                <w:rFonts w:ascii="Arial" w:hAnsi="Arial"/>
                <w:b w:val="0"/>
                <w:color w:val="000000"/>
                <w:sz w:val="16"/>
              </w:rPr>
              <w:t>1. Panorama ciudadano</w:t>
            </w:r>
          </w:p>
        </w:tc>
        <w:tc>
          <w:tcPr>
            <w:tcW w:type="dxa" w:w="3312"/>
            <w:vAlign w:val="center"/>
            <w:tcMar>
              <w:top w:w="90" w:type="dxa"/>
              <w:start w:w="110" w:type="dxa"/>
              <w:bottom w:w="90" w:type="dxa"/>
              <w:end w:w="110" w:type="dxa"/>
            </w:tcMar>
          </w:tcPr>
          <w:p>
            <w:pPr>
              <w:spacing w:after="0" w:line="252" w:lineRule="auto"/>
            </w:pPr>
            <w:r/>
            <w:r>
              <w:rPr>
                <w:rFonts w:ascii="Arial" w:hAnsi="Arial"/>
                <w:b w:val="0"/>
                <w:color w:val="000000"/>
                <w:sz w:val="16"/>
              </w:rPr>
              <w:t>¿Cuál es el volumen global, los tiempos de atención y la distribución territorial?</w:t>
            </w:r>
          </w:p>
        </w:tc>
        <w:tc>
          <w:tcPr>
            <w:tcW w:type="dxa" w:w="5112"/>
            <w:vAlign w:val="center"/>
            <w:tcMar>
              <w:top w:w="90" w:type="dxa"/>
              <w:start w:w="110" w:type="dxa"/>
              <w:bottom w:w="90" w:type="dxa"/>
              <w:end w:w="110" w:type="dxa"/>
            </w:tcMar>
          </w:tcPr>
          <w:p>
            <w:pPr>
              <w:spacing w:after="0" w:line="252" w:lineRule="auto"/>
            </w:pPr>
            <w:r/>
            <w:r>
              <w:rPr>
                <w:rFonts w:ascii="Arial" w:hAnsi="Arial"/>
                <w:b w:val="0"/>
                <w:color w:val="000000"/>
                <w:sz w:val="16"/>
              </w:rPr>
              <w:t>KPIs principales, tendencia mensual (enero y abril–julio), carga por borough, mapa geoespacial y segmentadores de Borough, Agencia, Clúster K-Means y Estado.</w:t>
            </w:r>
          </w:p>
        </w:tc>
      </w:tr>
      <w:tr>
        <w:tc>
          <w:tcPr>
            <w:tcW w:type="dxa" w:w="230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2. Dónde concentrar capacidad</w:t>
            </w:r>
          </w:p>
        </w:tc>
        <w:tc>
          <w:tcPr>
            <w:tcW w:type="dxa" w:w="331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¿En qué agencias, distritos y canales se originan los mayores retrasos?</w:t>
            </w:r>
          </w:p>
        </w:tc>
        <w:tc>
          <w:tcPr>
            <w:tcW w:type="dxa" w:w="511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Mediana observada por agencia y borough, volumen por canal de entrada, estado operativo y slicer de clústeres para aislar rezagos.</w:t>
            </w:r>
          </w:p>
        </w:tc>
      </w:tr>
      <w:tr>
        <w:tc>
          <w:tcPr>
            <w:tcW w:type="dxa" w:w="2304"/>
            <w:vAlign w:val="center"/>
            <w:tcMar>
              <w:top w:w="90" w:type="dxa"/>
              <w:start w:w="110" w:type="dxa"/>
              <w:bottom w:w="90" w:type="dxa"/>
              <w:end w:w="110" w:type="dxa"/>
            </w:tcMar>
          </w:tcPr>
          <w:p>
            <w:pPr>
              <w:spacing w:after="0" w:line="252" w:lineRule="auto"/>
            </w:pPr>
            <w:r/>
            <w:r>
              <w:rPr>
                <w:rFonts w:ascii="Arial" w:hAnsi="Arial"/>
                <w:b w:val="0"/>
                <w:color w:val="000000"/>
                <w:sz w:val="16"/>
              </w:rPr>
              <w:t>3. Segmentación y valor operativo</w:t>
            </w:r>
          </w:p>
        </w:tc>
        <w:tc>
          <w:tcPr>
            <w:tcW w:type="dxa" w:w="3312"/>
            <w:vAlign w:val="center"/>
            <w:tcMar>
              <w:top w:w="90" w:type="dxa"/>
              <w:start w:w="110" w:type="dxa"/>
              <w:bottom w:w="90" w:type="dxa"/>
              <w:end w:w="110" w:type="dxa"/>
            </w:tcMar>
          </w:tcPr>
          <w:p>
            <w:pPr>
              <w:spacing w:after="0" w:line="252" w:lineRule="auto"/>
            </w:pPr>
            <w:r/>
            <w:r>
              <w:rPr>
                <w:rFonts w:ascii="Arial" w:hAnsi="Arial"/>
                <w:b w:val="0"/>
                <w:color w:val="000000"/>
                <w:sz w:val="16"/>
              </w:rPr>
              <w:t>¿Cómo se distribuyen los 481 perfiles actuales y qué impacto genera el modelo?</w:t>
            </w:r>
          </w:p>
        </w:tc>
        <w:tc>
          <w:tcPr>
            <w:tcW w:type="dxa" w:w="5112"/>
            <w:vAlign w:val="center"/>
            <w:tcMar>
              <w:top w:w="90" w:type="dxa"/>
              <w:start w:w="110" w:type="dxa"/>
              <w:bottom w:w="90" w:type="dxa"/>
              <w:end w:w="110" w:type="dxa"/>
            </w:tcMar>
          </w:tcPr>
          <w:p>
            <w:pPr>
              <w:spacing w:after="0" w:line="252" w:lineRule="auto"/>
            </w:pPr>
            <w:r/>
            <w:r>
              <w:rPr>
                <w:rFonts w:ascii="Arial" w:hAnsi="Arial"/>
                <w:b w:val="0"/>
                <w:color w:val="000000"/>
                <w:sz w:val="16"/>
              </w:rPr>
              <w:t>Segmentador de clústeres (con opción 'Sin perfil K-Means'), KPIs de segmento, gráficos de volumen y mediana por clúster, y paneles de Árbol CART y ROI.</w:t>
            </w:r>
          </w:p>
        </w:tc>
      </w:tr>
    </w:tbl>
    <w:p>
      <w:pPr>
        <w:spacing w:after="20"/>
        <w:widowControl w:val="1"/>
      </w:pPr>
    </w:p>
    <w:p>
      <w:pPr>
        <w:widowControl w:val="1"/>
      </w:pPr>
      <w:r>
        <w:rPr>
          <w:rFonts w:ascii="Arial" w:hAnsi="Arial"/>
          <w:b w:val="0"/>
          <w:i w:val="0"/>
          <w:color w:val="000000"/>
          <w:sz w:val="20"/>
        </w:rPr>
        <w:t>A continuación se presentan las capturas reales de las tres páginas del dashboard ejecutadas en Power BI Desktop:</w:t>
      </w:r>
    </w:p>
    <w:p>
      <w:pPr>
        <w:spacing w:before="120" w:after="40"/>
        <w:jc w:val="center"/>
        <w:widowControl w:val="1"/>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dashboard_pagina1_panorama.png"/>
                    <pic:cNvPicPr/>
                  </pic:nvPicPr>
                  <pic:blipFill>
                    <a:blip r:embed="rId12"/>
                    <a:stretch>
                      <a:fillRect/>
                    </a:stretch>
                  </pic:blipFill>
                  <pic:spPr>
                    <a:xfrm>
                      <a:off x="0" y="0"/>
                      <a:ext cx="5669280" cy="3188970"/>
                    </a:xfrm>
                    <a:prstGeom prst="rect"/>
                  </pic:spPr>
                </pic:pic>
              </a:graphicData>
            </a:graphic>
          </wp:inline>
        </w:drawing>
      </w:r>
    </w:p>
    <w:p>
      <w:pPr>
        <w:spacing w:after="160"/>
        <w:jc w:val="center"/>
        <w:widowControl w:val="1"/>
      </w:pPr>
      <w:r>
        <w:rPr>
          <w:rFonts w:ascii="Arial" w:hAnsi="Arial"/>
          <w:b w:val="0"/>
          <w:i/>
          <w:color w:val="4A5560"/>
          <w:sz w:val="17"/>
        </w:rPr>
        <w:t>Figura: Página 1: Panorama de atención ciudadana con mapa geoespacial y segmentadores.</w:t>
      </w:r>
    </w:p>
    <w:p>
      <w:pPr>
        <w:spacing w:before="120" w:after="40"/>
        <w:jc w:val="center"/>
        <w:widowControl w:val="1"/>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dashboard_pagina2_capacidad.png"/>
                    <pic:cNvPicPr/>
                  </pic:nvPicPr>
                  <pic:blipFill>
                    <a:blip r:embed="rId13"/>
                    <a:stretch>
                      <a:fillRect/>
                    </a:stretch>
                  </pic:blipFill>
                  <pic:spPr>
                    <a:xfrm>
                      <a:off x="0" y="0"/>
                      <a:ext cx="5669280" cy="3188970"/>
                    </a:xfrm>
                    <a:prstGeom prst="rect"/>
                  </pic:spPr>
                </pic:pic>
              </a:graphicData>
            </a:graphic>
          </wp:inline>
        </w:drawing>
      </w:r>
    </w:p>
    <w:p>
      <w:pPr>
        <w:spacing w:after="160"/>
        <w:jc w:val="center"/>
        <w:widowControl w:val="1"/>
      </w:pPr>
      <w:r>
        <w:rPr>
          <w:rFonts w:ascii="Arial" w:hAnsi="Arial"/>
          <w:b w:val="0"/>
          <w:i/>
          <w:color w:val="4A5560"/>
          <w:sz w:val="17"/>
        </w:rPr>
        <w:t>Figura: Página 2: Diagnóstico operativo de capacidad por agencia, borough y canal.</w:t>
      </w:r>
    </w:p>
    <w:p>
      <w:pPr>
        <w:spacing w:before="120" w:after="40"/>
        <w:jc w:val="center"/>
        <w:widowControl w:val="1"/>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dashboard_pagina3_segmentacion.png"/>
                    <pic:cNvPicPr/>
                  </pic:nvPicPr>
                  <pic:blipFill>
                    <a:blip r:embed="rId14"/>
                    <a:stretch>
                      <a:fillRect/>
                    </a:stretch>
                  </pic:blipFill>
                  <pic:spPr>
                    <a:xfrm>
                      <a:off x="0" y="0"/>
                      <a:ext cx="5669280" cy="3188970"/>
                    </a:xfrm>
                    <a:prstGeom prst="rect"/>
                  </pic:spPr>
                </pic:pic>
              </a:graphicData>
            </a:graphic>
          </wp:inline>
        </w:drawing>
      </w:r>
    </w:p>
    <w:p>
      <w:pPr>
        <w:spacing w:after="160"/>
        <w:jc w:val="center"/>
        <w:widowControl w:val="1"/>
      </w:pPr>
      <w:r>
        <w:rPr>
          <w:rFonts w:ascii="Arial" w:hAnsi="Arial"/>
          <w:b w:val="0"/>
          <w:i/>
          <w:color w:val="4A5560"/>
          <w:sz w:val="17"/>
        </w:rPr>
        <w:t>Figura: Página 3: Segmentación de minería (K-Means), contexto de Árbol CART y valor público.</w:t>
      </w:r>
    </w:p>
    <w:p>
      <w:pPr>
        <w:pStyle w:val="Heading2"/>
        <w:widowControl w:val="1"/>
      </w:pPr>
      <w:r>
        <w:t>Medidas DAX oficiales incorporadas</w:t>
      </w:r>
    </w:p>
    <w:p>
      <w:pPr>
        <w:spacing w:before="60" w:after="120" w:line="240" w:lineRule="auto"/>
        <w:ind w:left="259" w:right="259"/>
        <w:widowControl w:val="1"/>
      </w:pPr>
      <w:r>
        <w:rPr>
          <w:rFonts w:ascii="Courier New" w:hAnsi="Courier New"/>
          <w:b w:val="0"/>
          <w:i w:val="0"/>
          <w:color w:val="4A5560"/>
          <w:sz w:val="16"/>
        </w:rPr>
        <w:t>Solicitudes distintas = DISTINCTCOUNT('bi vw_solicitudes_segmentadas'[codigo_solicitud])</w:t>
        <w:br/>
        <w:t>Solicitudes con tiempo = CALCULATE([Solicitudes distintas], NOT ISBLANK('bi vw_solicitudes_segmentadas'[minutos_resolucion]))</w:t>
        <w:br/>
        <w:t>Solicitudes sin duración = CALCULATE([Solicitudes distintas], ISBLANK('bi vw_solicitudes_segmentadas'[minutos_resolucion]))</w:t>
        <w:br/>
        <w:t>Solicitudes con demora alta = COALESCE(CALCULATE([Solicitudes distintas], 'bi vw_solicitudes_segmentadas'[demora_alta] = 1), 0)</w:t>
        <w:br/>
        <w:t>Tasa demora alta = DIVIDE([Solicitudes con demora alta], [Solicitudes con tiempo])</w:t>
        <w:br/>
        <w:t>Mediana minutos observados = MEDIAN('bi vw_solicitudes_segmentadas'[minutos_resolucion])</w:t>
        <w:br/>
        <w:t>Solicitudes segmentadas = CALCULATE([Solicitudes distintas], 'bi vw_solicitudes_segmentadas'[es_segmentado] = TRUE)</w:t>
        <w:br/>
        <w:t>Solicitudes fuera de perfil = CALCULATE([Solicitudes distintas], 'bi vw_solicitudes_segmentadas'[es_segmentado] = FALSE)</w:t>
        <w:br/>
        <w:t>Porcentaje segmentado = DIVIDE([Solicitudes segmentadas], [Solicitudes distintas])</w:t>
      </w:r>
    </w:p>
    <w:p>
      <w:pPr>
        <w:pStyle w:val="Heading1"/>
        <w:widowControl w:val="1"/>
      </w:pPr>
      <w:r>
        <w:t>8 Costos, viabilidad y modelo de retorno operativo (ROI)</w:t>
      </w:r>
    </w:p>
    <w:p>
      <w:pPr>
        <w:widowControl w:val="1"/>
      </w:pPr>
      <w:r>
        <w:rPr>
          <w:rFonts w:ascii="Arial" w:hAnsi="Arial"/>
          <w:b w:val="0"/>
          <w:i w:val="0"/>
          <w:color w:val="000000"/>
          <w:sz w:val="20"/>
        </w:rPr>
        <w:t>En el sector público municipal, el beneficio económico de una solución analítica no surge de cobrar por solicitud resuelta, sino del ahorro sustantivo en horas-hombre de supervisores y analistas, la reducción de reprocesos, la disminución de llamadas repetidas al 311 y la asignación optimizada de cuadrillas de campo.</w:t>
      </w:r>
    </w:p>
    <w:p>
      <w:pPr>
        <w:pStyle w:val="Heading2"/>
        <w:widowControl w:val="1"/>
      </w:pPr>
      <w:r>
        <w:t>Desglose detallado de costos (Horizonte a 3 años)</w:t>
      </w:r>
    </w:p>
    <w:tbl>
      <w:tblPr>
        <w:tblW w:type="auto" w:w="0"/>
        <w:jc w:val="center"/>
        <w:tblLayout w:type="autofit"/>
        <w:tblLook w:firstColumn="1" w:firstRow="1" w:lastColumn="0" w:lastRow="0" w:noHBand="0" w:noVBand="1" w:val="04A0"/>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Pr>
      <w:tblGrid>
        <w:gridCol w:w="2033"/>
        <w:gridCol w:w="2033"/>
        <w:gridCol w:w="2033"/>
        <w:gridCol w:w="2033"/>
        <w:gridCol w:w="2033"/>
      </w:tblGrid>
      <w:tr>
        <w:trPr>
          <w:tblHeader w:val="true"/>
        </w:trPr>
        <w:tc>
          <w:tcPr>
            <w:tcW w:type="dxa" w:w="1872"/>
            <w:vAlign w:val="center"/>
            <w:tcMar>
              <w:top w:w="90" w:type="dxa"/>
              <w:start w:w="110" w:type="dxa"/>
              <w:bottom w:w="90" w:type="dxa"/>
              <w:end w:w="110" w:type="dxa"/>
            </w:tcMar>
            <w:shd w:fill="1F5D78" w:val="clear"/>
          </w:tcPr>
          <w:p>
            <w:pPr>
              <w:spacing w:after="0" w:line="252" w:lineRule="auto"/>
            </w:pPr>
            <w:r/>
            <w:r>
              <w:rPr>
                <w:rFonts w:ascii="Arial" w:hAnsi="Arial"/>
                <w:b/>
                <w:color w:val="FFFFFF"/>
                <w:sz w:val="15"/>
              </w:rPr>
              <w:t>Categoría</w:t>
            </w:r>
          </w:p>
        </w:tc>
        <w:tc>
          <w:tcPr>
            <w:tcW w:type="dxa" w:w="3456"/>
            <w:vAlign w:val="center"/>
            <w:tcMar>
              <w:top w:w="90" w:type="dxa"/>
              <w:start w:w="110" w:type="dxa"/>
              <w:bottom w:w="90" w:type="dxa"/>
              <w:end w:w="110" w:type="dxa"/>
            </w:tcMar>
            <w:shd w:fill="1F5D78" w:val="clear"/>
          </w:tcPr>
          <w:p>
            <w:pPr>
              <w:spacing w:after="0" w:line="252" w:lineRule="auto"/>
            </w:pPr>
            <w:r/>
            <w:r>
              <w:rPr>
                <w:rFonts w:ascii="Arial" w:hAnsi="Arial"/>
                <w:b/>
                <w:color w:val="FFFFFF"/>
                <w:sz w:val="15"/>
              </w:rPr>
              <w:t>Concepto y Detalle</w:t>
            </w:r>
          </w:p>
        </w:tc>
        <w:tc>
          <w:tcPr>
            <w:tcW w:type="dxa" w:w="1296"/>
            <w:vAlign w:val="center"/>
            <w:tcMar>
              <w:top w:w="90" w:type="dxa"/>
              <w:start w:w="110" w:type="dxa"/>
              <w:bottom w:w="90" w:type="dxa"/>
              <w:end w:w="110" w:type="dxa"/>
            </w:tcMar>
            <w:shd w:fill="1F5D78" w:val="clear"/>
          </w:tcPr>
          <w:p>
            <w:pPr>
              <w:spacing w:after="0" w:line="252" w:lineRule="auto"/>
            </w:pPr>
            <w:r/>
            <w:r>
              <w:rPr>
                <w:rFonts w:ascii="Arial" w:hAnsi="Arial"/>
                <w:b/>
                <w:color w:val="FFFFFF"/>
                <w:sz w:val="15"/>
              </w:rPr>
              <w:t>Tipo</w:t>
            </w:r>
          </w:p>
        </w:tc>
        <w:tc>
          <w:tcPr>
            <w:tcW w:type="dxa" w:w="2304"/>
            <w:vAlign w:val="center"/>
            <w:tcMar>
              <w:top w:w="90" w:type="dxa"/>
              <w:start w:w="110" w:type="dxa"/>
              <w:bottom w:w="90" w:type="dxa"/>
              <w:end w:w="110" w:type="dxa"/>
            </w:tcMar>
            <w:shd w:fill="1F5D78" w:val="clear"/>
          </w:tcPr>
          <w:p>
            <w:pPr>
              <w:spacing w:after="0" w:line="252" w:lineRule="auto"/>
            </w:pPr>
            <w:r/>
            <w:r>
              <w:rPr>
                <w:rFonts w:ascii="Arial" w:hAnsi="Arial"/>
                <w:b/>
                <w:color w:val="FFFFFF"/>
                <w:sz w:val="15"/>
              </w:rPr>
              <w:t>Costo Unitario / Supuesto</w:t>
            </w:r>
          </w:p>
        </w:tc>
        <w:tc>
          <w:tcPr>
            <w:tcW w:type="dxa" w:w="1800"/>
            <w:vAlign w:val="center"/>
            <w:tcMar>
              <w:top w:w="90" w:type="dxa"/>
              <w:start w:w="110" w:type="dxa"/>
              <w:bottom w:w="90" w:type="dxa"/>
              <w:end w:w="110" w:type="dxa"/>
            </w:tcMar>
            <w:shd w:fill="1F5D78" w:val="clear"/>
          </w:tcPr>
          <w:p>
            <w:pPr>
              <w:spacing w:after="0" w:line="252" w:lineRule="auto"/>
            </w:pPr>
            <w:r/>
            <w:r>
              <w:rPr>
                <w:rFonts w:ascii="Arial" w:hAnsi="Arial"/>
                <w:b/>
                <w:color w:val="FFFFFF"/>
                <w:sz w:val="15"/>
              </w:rPr>
              <w:t>Costo Anual / Inicial</w:t>
            </w:r>
          </w:p>
        </w:tc>
      </w:tr>
      <w:tr>
        <w:tc>
          <w:tcPr>
            <w:tcW w:type="dxa" w:w="1872"/>
            <w:vAlign w:val="center"/>
            <w:tcMar>
              <w:top w:w="90" w:type="dxa"/>
              <w:start w:w="110" w:type="dxa"/>
              <w:bottom w:w="90" w:type="dxa"/>
              <w:end w:w="110" w:type="dxa"/>
            </w:tcMar>
          </w:tcPr>
          <w:p>
            <w:pPr>
              <w:spacing w:after="0" w:line="252" w:lineRule="auto"/>
            </w:pPr>
            <w:r/>
            <w:r>
              <w:rPr>
                <w:rFonts w:ascii="Arial" w:hAnsi="Arial"/>
                <w:b/>
                <w:color w:val="000000"/>
                <w:sz w:val="15"/>
              </w:rPr>
              <w:t>Infraestructura</w:t>
            </w:r>
          </w:p>
        </w:tc>
        <w:tc>
          <w:tcPr>
            <w:tcW w:type="dxa" w:w="3456"/>
            <w:vAlign w:val="center"/>
            <w:tcMar>
              <w:top w:w="90" w:type="dxa"/>
              <w:start w:w="110" w:type="dxa"/>
              <w:bottom w:w="90" w:type="dxa"/>
              <w:end w:w="110" w:type="dxa"/>
            </w:tcMar>
          </w:tcPr>
          <w:p>
            <w:pPr>
              <w:spacing w:after="0" w:line="252" w:lineRule="auto"/>
            </w:pPr>
            <w:r/>
            <w:r>
              <w:rPr>
                <w:rFonts w:ascii="Arial" w:hAnsi="Arial"/>
                <w:b w:val="0"/>
                <w:color w:val="000000"/>
                <w:sz w:val="15"/>
              </w:rPr>
              <w:t>Hosting de SQL Server y almacenamiento analítico (Azure SQL / VM 4 vCPU, 16 GB RAM)</w:t>
            </w:r>
          </w:p>
        </w:tc>
        <w:tc>
          <w:tcPr>
            <w:tcW w:type="dxa" w:w="1296"/>
            <w:vAlign w:val="center"/>
            <w:tcMar>
              <w:top w:w="90" w:type="dxa"/>
              <w:start w:w="110" w:type="dxa"/>
              <w:bottom w:w="90" w:type="dxa"/>
              <w:end w:w="110" w:type="dxa"/>
            </w:tcMar>
          </w:tcPr>
          <w:p>
            <w:pPr>
              <w:spacing w:after="0" w:line="252" w:lineRule="auto"/>
            </w:pPr>
            <w:r/>
            <w:r>
              <w:rPr>
                <w:rFonts w:ascii="Arial" w:hAnsi="Arial"/>
                <w:b w:val="0"/>
                <w:color w:val="000000"/>
                <w:sz w:val="15"/>
              </w:rPr>
              <w:t>Recurrente</w:t>
            </w:r>
          </w:p>
        </w:tc>
        <w:tc>
          <w:tcPr>
            <w:tcW w:type="dxa" w:w="2304"/>
            <w:vAlign w:val="center"/>
            <w:tcMar>
              <w:top w:w="90" w:type="dxa"/>
              <w:start w:w="110" w:type="dxa"/>
              <w:bottom w:w="90" w:type="dxa"/>
              <w:end w:w="110" w:type="dxa"/>
            </w:tcMar>
          </w:tcPr>
          <w:p>
            <w:pPr>
              <w:spacing w:after="0" w:line="252" w:lineRule="auto"/>
            </w:pPr>
            <w:r/>
            <w:r>
              <w:rPr>
                <w:rFonts w:ascii="Arial" w:hAnsi="Arial"/>
                <w:b w:val="0"/>
                <w:color w:val="000000"/>
                <w:sz w:val="15"/>
              </w:rPr>
              <w:t>150 USD/mes con respaldos incluidos</w:t>
            </w:r>
          </w:p>
        </w:tc>
        <w:tc>
          <w:tcPr>
            <w:tcW w:type="dxa" w:w="1800"/>
            <w:vAlign w:val="center"/>
            <w:tcMar>
              <w:top w:w="90" w:type="dxa"/>
              <w:start w:w="110" w:type="dxa"/>
              <w:bottom w:w="90" w:type="dxa"/>
              <w:end w:w="110" w:type="dxa"/>
            </w:tcMar>
          </w:tcPr>
          <w:p>
            <w:pPr>
              <w:spacing w:after="0" w:line="252" w:lineRule="auto"/>
            </w:pPr>
            <w:r/>
            <w:r>
              <w:rPr>
                <w:rFonts w:ascii="Arial" w:hAnsi="Arial"/>
                <w:b w:val="0"/>
                <w:color w:val="000000"/>
                <w:sz w:val="15"/>
              </w:rPr>
              <w:t>1,800 USD/año</w:t>
            </w:r>
          </w:p>
        </w:tc>
      </w:tr>
      <w:tr>
        <w:tc>
          <w:tcPr>
            <w:tcW w:type="dxa" w:w="1872"/>
            <w:vAlign w:val="center"/>
            <w:tcMar>
              <w:top w:w="90" w:type="dxa"/>
              <w:start w:w="110" w:type="dxa"/>
              <w:bottom w:w="90" w:type="dxa"/>
              <w:end w:w="110" w:type="dxa"/>
            </w:tcMar>
            <w:shd w:fill="F5F9FC" w:val="clear"/>
          </w:tcPr>
          <w:p>
            <w:pPr>
              <w:spacing w:after="0" w:line="252" w:lineRule="auto"/>
            </w:pPr>
            <w:r/>
            <w:r>
              <w:rPr>
                <w:rFonts w:ascii="Arial" w:hAnsi="Arial"/>
                <w:b/>
                <w:color w:val="000000"/>
                <w:sz w:val="15"/>
              </w:rPr>
              <w:t>Licenciamiento</w:t>
            </w:r>
          </w:p>
        </w:tc>
        <w:tc>
          <w:tcPr>
            <w:tcW w:type="dxa" w:w="3456"/>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Power BI Pro (5 licencias para directores y supervisores; Desktop gratuito)</w:t>
            </w:r>
          </w:p>
        </w:tc>
        <w:tc>
          <w:tcPr>
            <w:tcW w:type="dxa" w:w="1296"/>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Recurrente</w:t>
            </w:r>
          </w:p>
        </w:tc>
        <w:tc>
          <w:tcPr>
            <w:tcW w:type="dxa" w:w="230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10 USD/usuario/mes (tarifa oficial Microsoft)</w:t>
            </w:r>
          </w:p>
        </w:tc>
        <w:tc>
          <w:tcPr>
            <w:tcW w:type="dxa" w:w="180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600 USD/año</w:t>
            </w:r>
          </w:p>
        </w:tc>
      </w:tr>
      <w:tr>
        <w:tc>
          <w:tcPr>
            <w:tcW w:type="dxa" w:w="1872"/>
            <w:vAlign w:val="center"/>
            <w:tcMar>
              <w:top w:w="90" w:type="dxa"/>
              <w:start w:w="110" w:type="dxa"/>
              <w:bottom w:w="90" w:type="dxa"/>
              <w:end w:w="110" w:type="dxa"/>
            </w:tcMar>
          </w:tcPr>
          <w:p>
            <w:pPr>
              <w:spacing w:after="0" w:line="252" w:lineRule="auto"/>
            </w:pPr>
            <w:r/>
            <w:r>
              <w:rPr>
                <w:rFonts w:ascii="Arial" w:hAnsi="Arial"/>
                <w:b/>
                <w:color w:val="000000"/>
                <w:sz w:val="15"/>
              </w:rPr>
              <w:t>Desarrollo</w:t>
            </w:r>
          </w:p>
        </w:tc>
        <w:tc>
          <w:tcPr>
            <w:tcW w:type="dxa" w:w="3456"/>
            <w:vAlign w:val="center"/>
            <w:tcMar>
              <w:top w:w="90" w:type="dxa"/>
              <w:start w:w="110" w:type="dxa"/>
              <w:bottom w:w="90" w:type="dxa"/>
              <w:end w:w="110" w:type="dxa"/>
            </w:tcMar>
          </w:tcPr>
          <w:p>
            <w:pPr>
              <w:spacing w:after="0" w:line="252" w:lineRule="auto"/>
            </w:pPr>
            <w:r/>
            <w:r>
              <w:rPr>
                <w:rFonts w:ascii="Arial" w:hAnsi="Arial"/>
                <w:b w:val="0"/>
                <w:color w:val="000000"/>
                <w:sz w:val="15"/>
              </w:rPr>
              <w:t>280 horas hombre multidisciplinarias (F1: 90h, F2: 100h, F3: 90h)</w:t>
            </w:r>
          </w:p>
        </w:tc>
        <w:tc>
          <w:tcPr>
            <w:tcW w:type="dxa" w:w="1296"/>
            <w:vAlign w:val="center"/>
            <w:tcMar>
              <w:top w:w="90" w:type="dxa"/>
              <w:start w:w="110" w:type="dxa"/>
              <w:bottom w:w="90" w:type="dxa"/>
              <w:end w:w="110" w:type="dxa"/>
            </w:tcMar>
          </w:tcPr>
          <w:p>
            <w:pPr>
              <w:spacing w:after="0" w:line="252" w:lineRule="auto"/>
            </w:pPr>
            <w:r/>
            <w:r>
              <w:rPr>
                <w:rFonts w:ascii="Arial" w:hAnsi="Arial"/>
                <w:b w:val="0"/>
                <w:color w:val="000000"/>
                <w:sz w:val="15"/>
              </w:rPr>
              <w:t>Inicial (Año 0)</w:t>
            </w:r>
          </w:p>
        </w:tc>
        <w:tc>
          <w:tcPr>
            <w:tcW w:type="dxa" w:w="2304"/>
            <w:vAlign w:val="center"/>
            <w:tcMar>
              <w:top w:w="90" w:type="dxa"/>
              <w:start w:w="110" w:type="dxa"/>
              <w:bottom w:w="90" w:type="dxa"/>
              <w:end w:w="110" w:type="dxa"/>
            </w:tcMar>
          </w:tcPr>
          <w:p>
            <w:pPr>
              <w:spacing w:after="0" w:line="252" w:lineRule="auto"/>
            </w:pPr>
            <w:r/>
            <w:r>
              <w:rPr>
                <w:rFonts w:ascii="Arial" w:hAnsi="Arial"/>
                <w:b w:val="0"/>
                <w:color w:val="000000"/>
                <w:sz w:val="15"/>
              </w:rPr>
              <w:t>15.00 USD/hora (tarifa estándar supuesta)</w:t>
            </w:r>
          </w:p>
        </w:tc>
        <w:tc>
          <w:tcPr>
            <w:tcW w:type="dxa" w:w="1800"/>
            <w:vAlign w:val="center"/>
            <w:tcMar>
              <w:top w:w="90" w:type="dxa"/>
              <w:start w:w="110" w:type="dxa"/>
              <w:bottom w:w="90" w:type="dxa"/>
              <w:end w:w="110" w:type="dxa"/>
            </w:tcMar>
          </w:tcPr>
          <w:p>
            <w:pPr>
              <w:spacing w:after="0" w:line="252" w:lineRule="auto"/>
            </w:pPr>
            <w:r/>
            <w:r>
              <w:rPr>
                <w:rFonts w:ascii="Arial" w:hAnsi="Arial"/>
                <w:b w:val="0"/>
                <w:color w:val="000000"/>
                <w:sz w:val="15"/>
              </w:rPr>
              <w:t>4,200 USD (Único)</w:t>
            </w:r>
          </w:p>
        </w:tc>
      </w:tr>
      <w:tr>
        <w:tc>
          <w:tcPr>
            <w:tcW w:type="dxa" w:w="1872"/>
            <w:vAlign w:val="center"/>
            <w:tcMar>
              <w:top w:w="90" w:type="dxa"/>
              <w:start w:w="110" w:type="dxa"/>
              <w:bottom w:w="90" w:type="dxa"/>
              <w:end w:w="110" w:type="dxa"/>
            </w:tcMar>
            <w:shd w:fill="F5F9FC" w:val="clear"/>
          </w:tcPr>
          <w:p>
            <w:pPr>
              <w:spacing w:after="0" w:line="252" w:lineRule="auto"/>
            </w:pPr>
            <w:r/>
            <w:r>
              <w:rPr>
                <w:rFonts w:ascii="Arial" w:hAnsi="Arial"/>
                <w:b/>
                <w:color w:val="000000"/>
                <w:sz w:val="15"/>
              </w:rPr>
              <w:t>Operación y Soporte</w:t>
            </w:r>
          </w:p>
        </w:tc>
        <w:tc>
          <w:tcPr>
            <w:tcW w:type="dxa" w:w="3456"/>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10 horas mensuales de monitoreo ETL, reentrenamiento y soporte técnico</w:t>
            </w:r>
          </w:p>
        </w:tc>
        <w:tc>
          <w:tcPr>
            <w:tcW w:type="dxa" w:w="1296"/>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Recurrente</w:t>
            </w:r>
          </w:p>
        </w:tc>
        <w:tc>
          <w:tcPr>
            <w:tcW w:type="dxa" w:w="230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15.00 USD/hora</w:t>
            </w:r>
          </w:p>
        </w:tc>
        <w:tc>
          <w:tcPr>
            <w:tcW w:type="dxa" w:w="180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1,800 USD/año</w:t>
            </w:r>
          </w:p>
        </w:tc>
      </w:tr>
      <w:tr>
        <w:tc>
          <w:tcPr>
            <w:tcW w:type="dxa" w:w="1872"/>
            <w:vAlign w:val="center"/>
            <w:tcMar>
              <w:top w:w="90" w:type="dxa"/>
              <w:start w:w="110" w:type="dxa"/>
              <w:bottom w:w="90" w:type="dxa"/>
              <w:end w:w="110" w:type="dxa"/>
            </w:tcMar>
          </w:tcPr>
          <w:p>
            <w:pPr>
              <w:spacing w:after="0" w:line="252" w:lineRule="auto"/>
            </w:pPr>
            <w:r/>
            <w:r>
              <w:rPr>
                <w:rFonts w:ascii="Arial" w:hAnsi="Arial"/>
                <w:b/>
                <w:color w:val="000000"/>
                <w:sz w:val="15"/>
              </w:rPr>
              <w:t>Capacitación</w:t>
            </w:r>
          </w:p>
        </w:tc>
        <w:tc>
          <w:tcPr>
            <w:tcW w:type="dxa" w:w="3456"/>
            <w:vAlign w:val="center"/>
            <w:tcMar>
              <w:top w:w="90" w:type="dxa"/>
              <w:start w:w="110" w:type="dxa"/>
              <w:bottom w:w="90" w:type="dxa"/>
              <w:end w:w="110" w:type="dxa"/>
            </w:tcMar>
          </w:tcPr>
          <w:p>
            <w:pPr>
              <w:spacing w:after="0" w:line="252" w:lineRule="auto"/>
            </w:pPr>
            <w:r/>
            <w:r>
              <w:rPr>
                <w:rFonts w:ascii="Arial" w:hAnsi="Arial"/>
                <w:b w:val="0"/>
                <w:color w:val="000000"/>
                <w:sz w:val="15"/>
              </w:rPr>
              <w:t>2 talleres de 8h para analistas y directores de borough</w:t>
            </w:r>
          </w:p>
        </w:tc>
        <w:tc>
          <w:tcPr>
            <w:tcW w:type="dxa" w:w="1296"/>
            <w:vAlign w:val="center"/>
            <w:tcMar>
              <w:top w:w="90" w:type="dxa"/>
              <w:start w:w="110" w:type="dxa"/>
              <w:bottom w:w="90" w:type="dxa"/>
              <w:end w:w="110" w:type="dxa"/>
            </w:tcMar>
          </w:tcPr>
          <w:p>
            <w:pPr>
              <w:spacing w:after="0" w:line="252" w:lineRule="auto"/>
            </w:pPr>
            <w:r/>
            <w:r>
              <w:rPr>
                <w:rFonts w:ascii="Arial" w:hAnsi="Arial"/>
                <w:b w:val="0"/>
                <w:color w:val="000000"/>
                <w:sz w:val="15"/>
              </w:rPr>
              <w:t>Inicial (Año 0)</w:t>
            </w:r>
          </w:p>
        </w:tc>
        <w:tc>
          <w:tcPr>
            <w:tcW w:type="dxa" w:w="2304"/>
            <w:vAlign w:val="center"/>
            <w:tcMar>
              <w:top w:w="90" w:type="dxa"/>
              <w:start w:w="110" w:type="dxa"/>
              <w:bottom w:w="90" w:type="dxa"/>
              <w:end w:w="110" w:type="dxa"/>
            </w:tcMar>
          </w:tcPr>
          <w:p>
            <w:pPr>
              <w:spacing w:after="0" w:line="252" w:lineRule="auto"/>
            </w:pPr>
            <w:r/>
            <w:r>
              <w:rPr>
                <w:rFonts w:ascii="Arial" w:hAnsi="Arial"/>
                <w:b w:val="0"/>
                <w:color w:val="000000"/>
                <w:sz w:val="15"/>
              </w:rPr>
              <w:t>16 horas a 20.00 USD/hora</w:t>
            </w:r>
          </w:p>
        </w:tc>
        <w:tc>
          <w:tcPr>
            <w:tcW w:type="dxa" w:w="1800"/>
            <w:vAlign w:val="center"/>
            <w:tcMar>
              <w:top w:w="90" w:type="dxa"/>
              <w:start w:w="110" w:type="dxa"/>
              <w:bottom w:w="90" w:type="dxa"/>
              <w:end w:w="110" w:type="dxa"/>
            </w:tcMar>
          </w:tcPr>
          <w:p>
            <w:pPr>
              <w:spacing w:after="0" w:line="252" w:lineRule="auto"/>
            </w:pPr>
            <w:r/>
            <w:r>
              <w:rPr>
                <w:rFonts w:ascii="Arial" w:hAnsi="Arial"/>
                <w:b w:val="0"/>
                <w:color w:val="000000"/>
                <w:sz w:val="15"/>
              </w:rPr>
              <w:t>320 USD (Único)</w:t>
            </w:r>
          </w:p>
        </w:tc>
      </w:tr>
      <w:tr>
        <w:tc>
          <w:tcPr>
            <w:tcW w:type="dxa" w:w="1872"/>
            <w:vAlign w:val="center"/>
            <w:tcMar>
              <w:top w:w="90" w:type="dxa"/>
              <w:start w:w="110" w:type="dxa"/>
              <w:bottom w:w="90" w:type="dxa"/>
              <w:end w:w="110" w:type="dxa"/>
            </w:tcMar>
            <w:shd w:fill="F5F9FC" w:val="clear"/>
          </w:tcPr>
          <w:p>
            <w:pPr>
              <w:spacing w:after="0" w:line="252" w:lineRule="auto"/>
            </w:pPr>
            <w:r/>
            <w:r>
              <w:rPr>
                <w:rFonts w:ascii="Arial" w:hAnsi="Arial"/>
                <w:b/>
                <w:color w:val="000000"/>
                <w:sz w:val="15"/>
              </w:rPr>
              <w:t>TOTALES TCO</w:t>
            </w:r>
          </w:p>
        </w:tc>
        <w:tc>
          <w:tcPr>
            <w:tcW w:type="dxa" w:w="3456"/>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Costo Inicial (CAPEX): 4,520 USD  |  Costo Operativo Anual (OPEX): 4,200 USD/año</w:t>
            </w:r>
          </w:p>
        </w:tc>
        <w:tc>
          <w:tcPr>
            <w:tcW w:type="dxa" w:w="1296"/>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TCO 3 Años</w:t>
            </w:r>
          </w:p>
        </w:tc>
        <w:tc>
          <w:tcPr>
            <w:tcW w:type="dxa" w:w="2304"/>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CAPEX + (3 × OPEX)</w:t>
            </w:r>
          </w:p>
        </w:tc>
        <w:tc>
          <w:tcPr>
            <w:tcW w:type="dxa" w:w="180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17,120 USD (3 años)</w:t>
            </w:r>
          </w:p>
        </w:tc>
      </w:tr>
    </w:tbl>
    <w:p>
      <w:pPr>
        <w:spacing w:after="20"/>
        <w:widowControl w:val="1"/>
      </w:pPr>
    </w:p>
    <w:p>
      <w:pPr>
        <w:pStyle w:val="Heading2"/>
        <w:widowControl w:val="1"/>
      </w:pPr>
      <w:r>
        <w:t>Modelo de viabilidad por escenarios y cálculo de ROI</w:t>
      </w:r>
    </w:p>
    <w:p>
      <w:pPr>
        <w:widowControl w:val="1"/>
      </w:pPr>
      <w:r>
        <w:rPr>
          <w:rFonts w:ascii="Arial" w:hAnsi="Arial"/>
          <w:b w:val="0"/>
          <w:i w:val="0"/>
          <w:color w:val="000000"/>
          <w:sz w:val="20"/>
        </w:rPr>
        <w:t>El modelo financiero proyecta el retorno operativo sobre un horizonte de 3 años considerando una tarifa horaria de analista municipal de 18.00 USD/hora en las 4 oficinas principales de borough:</w:t>
      </w:r>
    </w:p>
    <w:p>
      <w:pPr>
        <w:spacing w:before="60" w:after="120" w:line="240" w:lineRule="auto"/>
        <w:ind w:left="259" w:right="259"/>
        <w:widowControl w:val="1"/>
      </w:pPr>
      <w:r>
        <w:rPr>
          <w:rFonts w:ascii="Courier New" w:hAnsi="Courier New"/>
          <w:b w:val="0"/>
          <w:i w:val="0"/>
          <w:color w:val="4A5560"/>
          <w:sz w:val="16"/>
        </w:rPr>
        <w:t>Costo Total (3 años) = 4,520 USD (CAPEX) + 3 * 4,200 USD (OPEX) = 17,120 USD</w:t>
        <w:br/>
        <w:t>Beneficio Neto (3 años) = Beneficio Acumulado (3 años) - Costo Total (3 años)</w:t>
        <w:br/>
        <w:t>ROI (%) = (Beneficio Neto / Costo Total) * 100</w:t>
        <w:br/>
        <w:t>Punto de Equilibrio = Mes en el cual los beneficios acumulados superan la inversión acumulada</w:t>
      </w:r>
    </w:p>
    <w:tbl>
      <w:tblPr>
        <w:tblW w:type="auto" w:w="0"/>
        <w:jc w:val="center"/>
        <w:tblLayout w:type="autofit"/>
        <w:tblLook w:firstColumn="1" w:firstRow="1" w:lastColumn="0" w:lastRow="0" w:noHBand="0" w:noVBand="1" w:val="04A0"/>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Pr>
      <w:tblGrid>
        <w:gridCol w:w="1452"/>
        <w:gridCol w:w="1452"/>
        <w:gridCol w:w="1452"/>
        <w:gridCol w:w="1452"/>
        <w:gridCol w:w="1452"/>
        <w:gridCol w:w="1452"/>
        <w:gridCol w:w="1452"/>
      </w:tblGrid>
      <w:tr>
        <w:trPr>
          <w:tblHeader w:val="true"/>
        </w:trPr>
        <w:tc>
          <w:tcPr>
            <w:tcW w:type="dxa" w:w="1728"/>
            <w:vAlign w:val="center"/>
            <w:tcMar>
              <w:top w:w="90" w:type="dxa"/>
              <w:start w:w="110" w:type="dxa"/>
              <w:bottom w:w="90" w:type="dxa"/>
              <w:end w:w="110" w:type="dxa"/>
            </w:tcMar>
            <w:shd w:fill="1F5D78" w:val="clear"/>
          </w:tcPr>
          <w:p>
            <w:pPr>
              <w:spacing w:after="0" w:line="252" w:lineRule="auto"/>
            </w:pPr>
            <w:r/>
            <w:r>
              <w:rPr>
                <w:rFonts w:ascii="Arial" w:hAnsi="Arial"/>
                <w:b/>
                <w:color w:val="FFFFFF"/>
                <w:sz w:val="15"/>
              </w:rPr>
              <w:t>Escenario</w:t>
            </w:r>
          </w:p>
        </w:tc>
        <w:tc>
          <w:tcPr>
            <w:tcW w:type="dxa" w:w="3312"/>
            <w:vAlign w:val="center"/>
            <w:tcMar>
              <w:top w:w="90" w:type="dxa"/>
              <w:start w:w="110" w:type="dxa"/>
              <w:bottom w:w="90" w:type="dxa"/>
              <w:end w:w="110" w:type="dxa"/>
            </w:tcMar>
            <w:shd w:fill="1F5D78" w:val="clear"/>
          </w:tcPr>
          <w:p>
            <w:pPr>
              <w:spacing w:after="0" w:line="252" w:lineRule="auto"/>
            </w:pPr>
            <w:r/>
            <w:r>
              <w:rPr>
                <w:rFonts w:ascii="Arial" w:hAnsi="Arial"/>
                <w:b/>
                <w:color w:val="FFFFFF"/>
                <w:sz w:val="15"/>
              </w:rPr>
              <w:t>Supuesto Operativo de Ahorro</w:t>
            </w:r>
          </w:p>
        </w:tc>
        <w:tc>
          <w:tcPr>
            <w:tcW w:type="dxa" w:w="1152"/>
            <w:vAlign w:val="center"/>
            <w:tcMar>
              <w:top w:w="90" w:type="dxa"/>
              <w:start w:w="110" w:type="dxa"/>
              <w:bottom w:w="90" w:type="dxa"/>
              <w:end w:w="110" w:type="dxa"/>
            </w:tcMar>
            <w:shd w:fill="1F5D78" w:val="clear"/>
          </w:tcPr>
          <w:p>
            <w:pPr>
              <w:spacing w:after="0" w:line="252" w:lineRule="auto"/>
            </w:pPr>
            <w:r/>
            <w:r>
              <w:rPr>
                <w:rFonts w:ascii="Arial" w:hAnsi="Arial"/>
                <w:b/>
                <w:color w:val="FFFFFF"/>
                <w:sz w:val="15"/>
              </w:rPr>
              <w:t>Beneficio Anual</w:t>
            </w:r>
          </w:p>
        </w:tc>
        <w:tc>
          <w:tcPr>
            <w:tcW w:type="dxa" w:w="1152"/>
            <w:vAlign w:val="center"/>
            <w:tcMar>
              <w:top w:w="90" w:type="dxa"/>
              <w:start w:w="110" w:type="dxa"/>
              <w:bottom w:w="90" w:type="dxa"/>
              <w:end w:w="110" w:type="dxa"/>
            </w:tcMar>
            <w:shd w:fill="1F5D78" w:val="clear"/>
          </w:tcPr>
          <w:p>
            <w:pPr>
              <w:spacing w:after="0" w:line="252" w:lineRule="auto"/>
            </w:pPr>
            <w:r/>
            <w:r>
              <w:rPr>
                <w:rFonts w:ascii="Arial" w:hAnsi="Arial"/>
                <w:b/>
                <w:color w:val="FFFFFF"/>
                <w:sz w:val="15"/>
              </w:rPr>
              <w:t>Beneficio 3 Años</w:t>
            </w:r>
          </w:p>
        </w:tc>
        <w:tc>
          <w:tcPr>
            <w:tcW w:type="dxa" w:w="1152"/>
            <w:vAlign w:val="center"/>
            <w:tcMar>
              <w:top w:w="90" w:type="dxa"/>
              <w:start w:w="110" w:type="dxa"/>
              <w:bottom w:w="90" w:type="dxa"/>
              <w:end w:w="110" w:type="dxa"/>
            </w:tcMar>
            <w:shd w:fill="1F5D78" w:val="clear"/>
          </w:tcPr>
          <w:p>
            <w:pPr>
              <w:spacing w:after="0" w:line="252" w:lineRule="auto"/>
            </w:pPr>
            <w:r/>
            <w:r>
              <w:rPr>
                <w:rFonts w:ascii="Arial" w:hAnsi="Arial"/>
                <w:b/>
                <w:color w:val="FFFFFF"/>
                <w:sz w:val="15"/>
              </w:rPr>
              <w:t>Beneficio Neto</w:t>
            </w:r>
          </w:p>
        </w:tc>
        <w:tc>
          <w:tcPr>
            <w:tcW w:type="dxa" w:w="1080"/>
            <w:vAlign w:val="center"/>
            <w:tcMar>
              <w:top w:w="90" w:type="dxa"/>
              <w:start w:w="110" w:type="dxa"/>
              <w:bottom w:w="90" w:type="dxa"/>
              <w:end w:w="110" w:type="dxa"/>
            </w:tcMar>
            <w:shd w:fill="1F5D78" w:val="clear"/>
          </w:tcPr>
          <w:p>
            <w:pPr>
              <w:spacing w:after="0" w:line="252" w:lineRule="auto"/>
            </w:pPr>
            <w:r/>
            <w:r>
              <w:rPr>
                <w:rFonts w:ascii="Arial" w:hAnsi="Arial"/>
                <w:b/>
                <w:color w:val="FFFFFF"/>
                <w:sz w:val="15"/>
              </w:rPr>
              <w:t>ROI (%)</w:t>
            </w:r>
          </w:p>
        </w:tc>
        <w:tc>
          <w:tcPr>
            <w:tcW w:type="dxa" w:w="1152"/>
            <w:vAlign w:val="center"/>
            <w:tcMar>
              <w:top w:w="90" w:type="dxa"/>
              <w:start w:w="110" w:type="dxa"/>
              <w:bottom w:w="90" w:type="dxa"/>
              <w:end w:w="110" w:type="dxa"/>
            </w:tcMar>
            <w:shd w:fill="1F5D78" w:val="clear"/>
          </w:tcPr>
          <w:p>
            <w:pPr>
              <w:spacing w:after="0" w:line="252" w:lineRule="auto"/>
            </w:pPr>
            <w:r/>
            <w:r>
              <w:rPr>
                <w:rFonts w:ascii="Arial" w:hAnsi="Arial"/>
                <w:b/>
                <w:color w:val="FFFFFF"/>
                <w:sz w:val="15"/>
              </w:rPr>
              <w:t>Punto Equilibrio</w:t>
            </w:r>
          </w:p>
        </w:tc>
      </w:tr>
      <w:tr>
        <w:tc>
          <w:tcPr>
            <w:tcW w:type="dxa" w:w="1728"/>
            <w:vAlign w:val="center"/>
            <w:tcMar>
              <w:top w:w="90" w:type="dxa"/>
              <w:start w:w="110" w:type="dxa"/>
              <w:bottom w:w="90" w:type="dxa"/>
              <w:end w:w="110" w:type="dxa"/>
            </w:tcMar>
          </w:tcPr>
          <w:p>
            <w:pPr>
              <w:spacing w:after="0" w:line="252" w:lineRule="auto"/>
            </w:pPr>
            <w:r/>
            <w:r>
              <w:rPr>
                <w:rFonts w:ascii="Arial" w:hAnsi="Arial"/>
                <w:b/>
                <w:color w:val="000000"/>
                <w:sz w:val="15"/>
              </w:rPr>
              <w:t>Conservador (Bajo)</w:t>
            </w:r>
          </w:p>
        </w:tc>
        <w:tc>
          <w:tcPr>
            <w:tcW w:type="dxa" w:w="3312"/>
            <w:vAlign w:val="center"/>
            <w:tcMar>
              <w:top w:w="90" w:type="dxa"/>
              <w:start w:w="110" w:type="dxa"/>
              <w:bottom w:w="90" w:type="dxa"/>
              <w:end w:w="110" w:type="dxa"/>
            </w:tcMar>
          </w:tcPr>
          <w:p>
            <w:pPr>
              <w:spacing w:after="0" w:line="252" w:lineRule="auto"/>
            </w:pPr>
            <w:r/>
            <w:r>
              <w:rPr>
                <w:rFonts w:ascii="Arial" w:hAnsi="Arial"/>
                <w:b w:val="0"/>
                <w:color w:val="000000"/>
                <w:sz w:val="15"/>
              </w:rPr>
              <w:t>Ahorro de 8 h/semana entre analistas (416 h/año a 18 USD/h). Adopción lenta.</w:t>
            </w:r>
          </w:p>
        </w:tc>
        <w:tc>
          <w:tcPr>
            <w:tcW w:type="dxa" w:w="1152"/>
            <w:vAlign w:val="center"/>
            <w:tcMar>
              <w:top w:w="90" w:type="dxa"/>
              <w:start w:w="110" w:type="dxa"/>
              <w:bottom w:w="90" w:type="dxa"/>
              <w:end w:w="110" w:type="dxa"/>
            </w:tcMar>
          </w:tcPr>
          <w:p>
            <w:pPr>
              <w:spacing w:after="0" w:line="252" w:lineRule="auto"/>
            </w:pPr>
            <w:r/>
            <w:r>
              <w:rPr>
                <w:rFonts w:ascii="Arial" w:hAnsi="Arial"/>
                <w:b w:val="0"/>
                <w:color w:val="000000"/>
                <w:sz w:val="15"/>
              </w:rPr>
              <w:t>7,488 USD</w:t>
            </w:r>
          </w:p>
        </w:tc>
        <w:tc>
          <w:tcPr>
            <w:tcW w:type="dxa" w:w="1152"/>
            <w:vAlign w:val="center"/>
            <w:tcMar>
              <w:top w:w="90" w:type="dxa"/>
              <w:start w:w="110" w:type="dxa"/>
              <w:bottom w:w="90" w:type="dxa"/>
              <w:end w:w="110" w:type="dxa"/>
            </w:tcMar>
          </w:tcPr>
          <w:p>
            <w:pPr>
              <w:spacing w:after="0" w:line="252" w:lineRule="auto"/>
            </w:pPr>
            <w:r/>
            <w:r>
              <w:rPr>
                <w:rFonts w:ascii="Arial" w:hAnsi="Arial"/>
                <w:b w:val="0"/>
                <w:color w:val="000000"/>
                <w:sz w:val="15"/>
              </w:rPr>
              <w:t>22,464 USD</w:t>
            </w:r>
          </w:p>
        </w:tc>
        <w:tc>
          <w:tcPr>
            <w:tcW w:type="dxa" w:w="1152"/>
            <w:vAlign w:val="center"/>
            <w:tcMar>
              <w:top w:w="90" w:type="dxa"/>
              <w:start w:w="110" w:type="dxa"/>
              <w:bottom w:w="90" w:type="dxa"/>
              <w:end w:w="110" w:type="dxa"/>
            </w:tcMar>
          </w:tcPr>
          <w:p>
            <w:pPr>
              <w:spacing w:after="0" w:line="252" w:lineRule="auto"/>
            </w:pPr>
            <w:r/>
            <w:r>
              <w:rPr>
                <w:rFonts w:ascii="Arial" w:hAnsi="Arial"/>
                <w:b w:val="0"/>
                <w:color w:val="000000"/>
                <w:sz w:val="15"/>
              </w:rPr>
              <w:t>5,344 USD</w:t>
            </w:r>
          </w:p>
        </w:tc>
        <w:tc>
          <w:tcPr>
            <w:tcW w:type="dxa" w:w="1080"/>
            <w:vAlign w:val="center"/>
            <w:tcMar>
              <w:top w:w="90" w:type="dxa"/>
              <w:start w:w="110" w:type="dxa"/>
              <w:bottom w:w="90" w:type="dxa"/>
              <w:end w:w="110" w:type="dxa"/>
            </w:tcMar>
          </w:tcPr>
          <w:p>
            <w:pPr>
              <w:spacing w:after="0" w:line="252" w:lineRule="auto"/>
            </w:pPr>
            <w:r/>
            <w:r>
              <w:rPr>
                <w:rFonts w:ascii="Arial" w:hAnsi="Arial"/>
                <w:b w:val="0"/>
                <w:color w:val="000000"/>
                <w:sz w:val="15"/>
              </w:rPr>
              <w:t>31.2%</w:t>
            </w:r>
          </w:p>
        </w:tc>
        <w:tc>
          <w:tcPr>
            <w:tcW w:type="dxa" w:w="1152"/>
            <w:vAlign w:val="center"/>
            <w:tcMar>
              <w:top w:w="90" w:type="dxa"/>
              <w:start w:w="110" w:type="dxa"/>
              <w:bottom w:w="90" w:type="dxa"/>
              <w:end w:w="110" w:type="dxa"/>
            </w:tcMar>
          </w:tcPr>
          <w:p>
            <w:pPr>
              <w:spacing w:after="0" w:line="252" w:lineRule="auto"/>
            </w:pPr>
            <w:r/>
            <w:r>
              <w:rPr>
                <w:rFonts w:ascii="Arial" w:hAnsi="Arial"/>
                <w:b w:val="0"/>
                <w:color w:val="000000"/>
                <w:sz w:val="15"/>
              </w:rPr>
              <w:t>Mes 28</w:t>
            </w:r>
          </w:p>
        </w:tc>
      </w:tr>
      <w:tr>
        <w:tc>
          <w:tcPr>
            <w:tcW w:type="dxa" w:w="1728"/>
            <w:vAlign w:val="center"/>
            <w:tcMar>
              <w:top w:w="90" w:type="dxa"/>
              <w:start w:w="110" w:type="dxa"/>
              <w:bottom w:w="90" w:type="dxa"/>
              <w:end w:w="110" w:type="dxa"/>
            </w:tcMar>
            <w:shd w:fill="F5F9FC" w:val="clear"/>
          </w:tcPr>
          <w:p>
            <w:pPr>
              <w:spacing w:after="0" w:line="252" w:lineRule="auto"/>
            </w:pPr>
            <w:r/>
            <w:r>
              <w:rPr>
                <w:rFonts w:ascii="Arial" w:hAnsi="Arial"/>
                <w:b/>
                <w:color w:val="000000"/>
                <w:sz w:val="15"/>
              </w:rPr>
              <w:t>Base (Más probable)</w:t>
            </w:r>
          </w:p>
        </w:tc>
        <w:tc>
          <w:tcPr>
            <w:tcW w:type="dxa" w:w="331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Ahorro de 16 h/semana en reportería y cruces (832 h/año a 18 USD/h). Adopción media.</w:t>
            </w:r>
          </w:p>
        </w:tc>
        <w:tc>
          <w:tcPr>
            <w:tcW w:type="dxa" w:w="115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14,976 USD</w:t>
            </w:r>
          </w:p>
        </w:tc>
        <w:tc>
          <w:tcPr>
            <w:tcW w:type="dxa" w:w="115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44,928 USD</w:t>
            </w:r>
          </w:p>
        </w:tc>
        <w:tc>
          <w:tcPr>
            <w:tcW w:type="dxa" w:w="115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27,808 USD</w:t>
            </w:r>
          </w:p>
        </w:tc>
        <w:tc>
          <w:tcPr>
            <w:tcW w:type="dxa" w:w="108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162.4%</w:t>
            </w:r>
          </w:p>
        </w:tc>
        <w:tc>
          <w:tcPr>
            <w:tcW w:type="dxa" w:w="1152"/>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5"/>
              </w:rPr>
              <w:t>Mes 14</w:t>
            </w:r>
          </w:p>
        </w:tc>
      </w:tr>
      <w:tr>
        <w:tc>
          <w:tcPr>
            <w:tcW w:type="dxa" w:w="1728"/>
            <w:vAlign w:val="center"/>
            <w:tcMar>
              <w:top w:w="90" w:type="dxa"/>
              <w:start w:w="110" w:type="dxa"/>
              <w:bottom w:w="90" w:type="dxa"/>
              <w:end w:w="110" w:type="dxa"/>
            </w:tcMar>
          </w:tcPr>
          <w:p>
            <w:pPr>
              <w:spacing w:after="0" w:line="252" w:lineRule="auto"/>
            </w:pPr>
            <w:r/>
            <w:r>
              <w:rPr>
                <w:rFonts w:ascii="Arial" w:hAnsi="Arial"/>
                <w:b/>
                <w:color w:val="000000"/>
                <w:sz w:val="15"/>
              </w:rPr>
              <w:t>Optimista (Alto)</w:t>
            </w:r>
          </w:p>
        </w:tc>
        <w:tc>
          <w:tcPr>
            <w:tcW w:type="dxa" w:w="3312"/>
            <w:vAlign w:val="center"/>
            <w:tcMar>
              <w:top w:w="90" w:type="dxa"/>
              <w:start w:w="110" w:type="dxa"/>
              <w:bottom w:w="90" w:type="dxa"/>
              <w:end w:w="110" w:type="dxa"/>
            </w:tcMar>
          </w:tcPr>
          <w:p>
            <w:pPr>
              <w:spacing w:after="0" w:line="252" w:lineRule="auto"/>
            </w:pPr>
            <w:r/>
            <w:r>
              <w:rPr>
                <w:rFonts w:ascii="Arial" w:hAnsi="Arial"/>
                <w:b w:val="0"/>
                <w:color w:val="000000"/>
                <w:sz w:val="15"/>
              </w:rPr>
              <w:t>Ahorro de 24 h/semana + 5% reducción en reprocesos de quejas críticas.</w:t>
            </w:r>
          </w:p>
        </w:tc>
        <w:tc>
          <w:tcPr>
            <w:tcW w:type="dxa" w:w="1152"/>
            <w:vAlign w:val="center"/>
            <w:tcMar>
              <w:top w:w="90" w:type="dxa"/>
              <w:start w:w="110" w:type="dxa"/>
              <w:bottom w:w="90" w:type="dxa"/>
              <w:end w:w="110" w:type="dxa"/>
            </w:tcMar>
          </w:tcPr>
          <w:p>
            <w:pPr>
              <w:spacing w:after="0" w:line="252" w:lineRule="auto"/>
            </w:pPr>
            <w:r/>
            <w:r>
              <w:rPr>
                <w:rFonts w:ascii="Arial" w:hAnsi="Arial"/>
                <w:b w:val="0"/>
                <w:color w:val="000000"/>
                <w:sz w:val="15"/>
              </w:rPr>
              <w:t>22,000 USD</w:t>
            </w:r>
          </w:p>
        </w:tc>
        <w:tc>
          <w:tcPr>
            <w:tcW w:type="dxa" w:w="1152"/>
            <w:vAlign w:val="center"/>
            <w:tcMar>
              <w:top w:w="90" w:type="dxa"/>
              <w:start w:w="110" w:type="dxa"/>
              <w:bottom w:w="90" w:type="dxa"/>
              <w:end w:w="110" w:type="dxa"/>
            </w:tcMar>
          </w:tcPr>
          <w:p>
            <w:pPr>
              <w:spacing w:after="0" w:line="252" w:lineRule="auto"/>
            </w:pPr>
            <w:r/>
            <w:r>
              <w:rPr>
                <w:rFonts w:ascii="Arial" w:hAnsi="Arial"/>
                <w:b w:val="0"/>
                <w:color w:val="000000"/>
                <w:sz w:val="15"/>
              </w:rPr>
              <w:t>66,000 USD</w:t>
            </w:r>
          </w:p>
        </w:tc>
        <w:tc>
          <w:tcPr>
            <w:tcW w:type="dxa" w:w="1152"/>
            <w:vAlign w:val="center"/>
            <w:tcMar>
              <w:top w:w="90" w:type="dxa"/>
              <w:start w:w="110" w:type="dxa"/>
              <w:bottom w:w="90" w:type="dxa"/>
              <w:end w:w="110" w:type="dxa"/>
            </w:tcMar>
          </w:tcPr>
          <w:p>
            <w:pPr>
              <w:spacing w:after="0" w:line="252" w:lineRule="auto"/>
            </w:pPr>
            <w:r/>
            <w:r>
              <w:rPr>
                <w:rFonts w:ascii="Arial" w:hAnsi="Arial"/>
                <w:b w:val="0"/>
                <w:color w:val="000000"/>
                <w:sz w:val="15"/>
              </w:rPr>
              <w:t>48,880 USD</w:t>
            </w:r>
          </w:p>
        </w:tc>
        <w:tc>
          <w:tcPr>
            <w:tcW w:type="dxa" w:w="1080"/>
            <w:vAlign w:val="center"/>
            <w:tcMar>
              <w:top w:w="90" w:type="dxa"/>
              <w:start w:w="110" w:type="dxa"/>
              <w:bottom w:w="90" w:type="dxa"/>
              <w:end w:w="110" w:type="dxa"/>
            </w:tcMar>
          </w:tcPr>
          <w:p>
            <w:pPr>
              <w:spacing w:after="0" w:line="252" w:lineRule="auto"/>
            </w:pPr>
            <w:r/>
            <w:r>
              <w:rPr>
                <w:rFonts w:ascii="Arial" w:hAnsi="Arial"/>
                <w:b w:val="0"/>
                <w:color w:val="000000"/>
                <w:sz w:val="15"/>
              </w:rPr>
              <w:t>285.5%</w:t>
            </w:r>
          </w:p>
        </w:tc>
        <w:tc>
          <w:tcPr>
            <w:tcW w:type="dxa" w:w="1152"/>
            <w:vAlign w:val="center"/>
            <w:tcMar>
              <w:top w:w="90" w:type="dxa"/>
              <w:start w:w="110" w:type="dxa"/>
              <w:bottom w:w="90" w:type="dxa"/>
              <w:end w:w="110" w:type="dxa"/>
            </w:tcMar>
          </w:tcPr>
          <w:p>
            <w:pPr>
              <w:spacing w:after="0" w:line="252" w:lineRule="auto"/>
            </w:pPr>
            <w:r/>
            <w:r>
              <w:rPr>
                <w:rFonts w:ascii="Arial" w:hAnsi="Arial"/>
                <w:b w:val="0"/>
                <w:color w:val="000000"/>
                <w:sz w:val="15"/>
              </w:rPr>
              <w:t>Mes 9</w:t>
            </w:r>
          </w:p>
        </w:tc>
      </w:tr>
    </w:tbl>
    <w:p>
      <w:pPr>
        <w:spacing w:after="20"/>
        <w:widowControl w:val="1"/>
      </w:pPr>
    </w:p>
    <w:p>
      <w:pPr>
        <w:pStyle w:val="Heading1"/>
        <w:widowControl w:val="1"/>
      </w:pPr>
      <w:r>
        <w:t>9 Plan de defensa oral y sustentación teórica</w:t>
      </w:r>
    </w:p>
    <w:p>
      <w:pPr>
        <w:widowControl w:val="1"/>
      </w:pPr>
      <w:r>
        <w:rPr>
          <w:rFonts w:ascii="Arial" w:hAnsi="Arial"/>
          <w:b w:val="0"/>
          <w:i w:val="0"/>
          <w:color w:val="000000"/>
          <w:sz w:val="20"/>
        </w:rPr>
        <w:t>La defensa oral está planificada para un tiempo máximo de 25 minutos (23 minutos de exposición cronometrada y 2 minutos de margen). El equipo cuenta con la presentación oficial presentacion_fase3_NYC311.pptx (12 diapositivas).</w:t>
      </w:r>
    </w:p>
    <w:tbl>
      <w:tblPr>
        <w:tblW w:type="auto" w:w="0"/>
        <w:jc w:val="center"/>
        <w:tblLayout w:type="autofit"/>
        <w:tblLook w:firstColumn="1" w:firstRow="1" w:lastColumn="0" w:lastRow="0" w:noHBand="0" w:noVBand="1" w:val="04A0"/>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Pr>
      <w:tblGrid>
        <w:gridCol w:w="3389"/>
        <w:gridCol w:w="3389"/>
        <w:gridCol w:w="3389"/>
      </w:tblGrid>
      <w:tr>
        <w:trPr>
          <w:tblHeader w:val="true"/>
        </w:trPr>
        <w:tc>
          <w:tcPr>
            <w:tcW w:type="dxa" w:w="1440"/>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Tiempo</w:t>
            </w:r>
          </w:p>
        </w:tc>
        <w:tc>
          <w:tcPr>
            <w:tcW w:type="dxa" w:w="2880"/>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Sección de la Defensa</w:t>
            </w:r>
          </w:p>
        </w:tc>
        <w:tc>
          <w:tcPr>
            <w:tcW w:type="dxa" w:w="6408"/>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Contenido y Demostración en Vivo</w:t>
            </w:r>
          </w:p>
        </w:tc>
      </w:tr>
      <w:tr>
        <w:tc>
          <w:tcPr>
            <w:tcW w:type="dxa" w:w="1440"/>
            <w:vAlign w:val="center"/>
            <w:tcMar>
              <w:top w:w="90" w:type="dxa"/>
              <w:start w:w="110" w:type="dxa"/>
              <w:bottom w:w="90" w:type="dxa"/>
              <w:end w:w="110" w:type="dxa"/>
            </w:tcMar>
          </w:tcPr>
          <w:p>
            <w:pPr>
              <w:spacing w:after="0" w:line="252" w:lineRule="auto"/>
            </w:pPr>
            <w:r/>
            <w:r>
              <w:rPr>
                <w:rFonts w:ascii="Arial" w:hAnsi="Arial"/>
                <w:b w:val="0"/>
                <w:color w:val="000000"/>
                <w:sz w:val="16"/>
              </w:rPr>
              <w:t>0:00–2:00</w:t>
            </w:r>
          </w:p>
        </w:tc>
        <w:tc>
          <w:tcPr>
            <w:tcW w:type="dxa" w:w="2880"/>
            <w:vAlign w:val="center"/>
            <w:tcMar>
              <w:top w:w="90" w:type="dxa"/>
              <w:start w:w="110" w:type="dxa"/>
              <w:bottom w:w="90" w:type="dxa"/>
              <w:end w:w="110" w:type="dxa"/>
            </w:tcMar>
          </w:tcPr>
          <w:p>
            <w:pPr>
              <w:spacing w:after="0" w:line="252" w:lineRule="auto"/>
            </w:pPr>
            <w:r/>
            <w:r>
              <w:rPr>
                <w:rFonts w:ascii="Arial" w:hAnsi="Arial"/>
                <w:b w:val="0"/>
                <w:color w:val="000000"/>
                <w:sz w:val="16"/>
              </w:rPr>
              <w:t>Problema y alcance</w:t>
            </w:r>
          </w:p>
        </w:tc>
        <w:tc>
          <w:tcPr>
            <w:tcW w:type="dxa" w:w="6408"/>
            <w:vAlign w:val="center"/>
            <w:tcMar>
              <w:top w:w="90" w:type="dxa"/>
              <w:start w:w="110" w:type="dxa"/>
              <w:bottom w:w="90" w:type="dxa"/>
              <w:end w:w="110" w:type="dxa"/>
            </w:tcMar>
          </w:tcPr>
          <w:p>
            <w:pPr>
              <w:spacing w:after="0" w:line="252" w:lineRule="auto"/>
            </w:pPr>
            <w:r/>
            <w:r>
              <w:rPr>
                <w:rFonts w:ascii="Arial" w:hAnsi="Arial"/>
                <w:b w:val="0"/>
                <w:color w:val="000000"/>
                <w:sz w:val="16"/>
              </w:rPr>
              <w:t>Contexto de NYC311, universo actual de 1,312,465 solicitudes y necesidad de priorización preventiva.</w:t>
            </w:r>
          </w:p>
        </w:tc>
      </w:tr>
      <w:tr>
        <w:tc>
          <w:tcPr>
            <w:tcW w:type="dxa" w:w="144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2:00–5:00</w:t>
            </w:r>
          </w:p>
        </w:tc>
        <w:tc>
          <w:tcPr>
            <w:tcW w:type="dxa" w:w="288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Arquitectura y DW (F1)</w:t>
            </w:r>
          </w:p>
        </w:tc>
        <w:tc>
          <w:tcPr>
            <w:tcW w:type="dxa" w:w="6408"/>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Linaje desde NYC Open Data, modelo estrella con dw.FactSolicitud y 6 dimensiones conformadas.</w:t>
            </w:r>
          </w:p>
        </w:tc>
      </w:tr>
      <w:tr>
        <w:tc>
          <w:tcPr>
            <w:tcW w:type="dxa" w:w="1440"/>
            <w:vAlign w:val="center"/>
            <w:tcMar>
              <w:top w:w="90" w:type="dxa"/>
              <w:start w:w="110" w:type="dxa"/>
              <w:bottom w:w="90" w:type="dxa"/>
              <w:end w:w="110" w:type="dxa"/>
            </w:tcMar>
          </w:tcPr>
          <w:p>
            <w:pPr>
              <w:spacing w:after="0" w:line="252" w:lineRule="auto"/>
            </w:pPr>
            <w:r/>
            <w:r>
              <w:rPr>
                <w:rFonts w:ascii="Arial" w:hAnsi="Arial"/>
                <w:b w:val="0"/>
                <w:color w:val="000000"/>
                <w:sz w:val="16"/>
              </w:rPr>
              <w:t>5:00–7:00</w:t>
            </w:r>
          </w:p>
        </w:tc>
        <w:tc>
          <w:tcPr>
            <w:tcW w:type="dxa" w:w="2880"/>
            <w:vAlign w:val="center"/>
            <w:tcMar>
              <w:top w:w="90" w:type="dxa"/>
              <w:start w:w="110" w:type="dxa"/>
              <w:bottom w:w="90" w:type="dxa"/>
              <w:end w:w="110" w:type="dxa"/>
            </w:tcMar>
          </w:tcPr>
          <w:p>
            <w:pPr>
              <w:spacing w:after="0" w:line="252" w:lineRule="auto"/>
            </w:pPr>
            <w:r/>
            <w:r>
              <w:rPr>
                <w:rFonts w:ascii="Arial" w:hAnsi="Arial"/>
                <w:b w:val="0"/>
                <w:color w:val="000000"/>
                <w:sz w:val="16"/>
              </w:rPr>
              <w:t>Proceso ETL (F1)</w:t>
            </w:r>
          </w:p>
        </w:tc>
        <w:tc>
          <w:tcPr>
            <w:tcW w:type="dxa" w:w="6408"/>
            <w:vAlign w:val="center"/>
            <w:tcMar>
              <w:top w:w="90" w:type="dxa"/>
              <w:start w:w="110" w:type="dxa"/>
              <w:bottom w:w="90" w:type="dxa"/>
              <w:end w:w="110" w:type="dxa"/>
            </w:tcMar>
          </w:tcPr>
          <w:p>
            <w:pPr>
              <w:spacing w:after="0" w:line="252" w:lineRule="auto"/>
            </w:pPr>
            <w:r/>
            <w:r>
              <w:rPr>
                <w:rFonts w:ascii="Arial" w:hAnsi="Arial"/>
                <w:b w:val="0"/>
                <w:color w:val="000000"/>
                <w:sz w:val="16"/>
              </w:rPr>
              <w:t>Extracción SSIS, tratamiento de fechas y llaves subrogadas; evidencia técnica en código.</w:t>
            </w:r>
          </w:p>
        </w:tc>
      </w:tr>
      <w:tr>
        <w:tc>
          <w:tcPr>
            <w:tcW w:type="dxa" w:w="144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7:00–12:00</w:t>
            </w:r>
          </w:p>
        </w:tc>
        <w:tc>
          <w:tcPr>
            <w:tcW w:type="dxa" w:w="288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Minería de Datos (F2)</w:t>
            </w:r>
          </w:p>
        </w:tc>
        <w:tc>
          <w:tcPr>
            <w:tcW w:type="dxa" w:w="6408"/>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Definición de P75 (4,329 min), Árbol CART (Recall 95.15% en test F2) y K-Means (480 en snapshot F2; 481 en publicación BI actual).</w:t>
            </w:r>
          </w:p>
        </w:tc>
      </w:tr>
      <w:tr>
        <w:tc>
          <w:tcPr>
            <w:tcW w:type="dxa" w:w="1440"/>
            <w:vAlign w:val="center"/>
            <w:tcMar>
              <w:top w:w="90" w:type="dxa"/>
              <w:start w:w="110" w:type="dxa"/>
              <w:bottom w:w="90" w:type="dxa"/>
              <w:end w:w="110" w:type="dxa"/>
            </w:tcMar>
          </w:tcPr>
          <w:p>
            <w:pPr>
              <w:spacing w:after="0" w:line="252" w:lineRule="auto"/>
            </w:pPr>
            <w:r/>
            <w:r>
              <w:rPr>
                <w:rFonts w:ascii="Arial" w:hAnsi="Arial"/>
                <w:b w:val="0"/>
                <w:color w:val="000000"/>
                <w:sz w:val="16"/>
              </w:rPr>
              <w:t>12:00–17:00</w:t>
            </w:r>
          </w:p>
        </w:tc>
        <w:tc>
          <w:tcPr>
            <w:tcW w:type="dxa" w:w="2880"/>
            <w:vAlign w:val="center"/>
            <w:tcMar>
              <w:top w:w="90" w:type="dxa"/>
              <w:start w:w="110" w:type="dxa"/>
              <w:bottom w:w="90" w:type="dxa"/>
              <w:end w:w="110" w:type="dxa"/>
            </w:tcMar>
          </w:tcPr>
          <w:p>
            <w:pPr>
              <w:spacing w:after="0" w:line="252" w:lineRule="auto"/>
            </w:pPr>
            <w:r/>
            <w:r>
              <w:rPr>
                <w:rFonts w:ascii="Arial" w:hAnsi="Arial"/>
                <w:b w:val="0"/>
                <w:color w:val="000000"/>
                <w:sz w:val="16"/>
              </w:rPr>
              <w:t>Demo Dashboard (F3)</w:t>
            </w:r>
          </w:p>
        </w:tc>
        <w:tc>
          <w:tcPr>
            <w:tcW w:type="dxa" w:w="6408"/>
            <w:vAlign w:val="center"/>
            <w:tcMar>
              <w:top w:w="90" w:type="dxa"/>
              <w:start w:w="110" w:type="dxa"/>
              <w:bottom w:w="90" w:type="dxa"/>
              <w:end w:w="110" w:type="dxa"/>
            </w:tcMar>
          </w:tcPr>
          <w:p>
            <w:pPr>
              <w:spacing w:after="0" w:line="252" w:lineRule="auto"/>
            </w:pPr>
            <w:r/>
            <w:r>
              <w:rPr>
                <w:rFonts w:ascii="Arial" w:hAnsi="Arial"/>
                <w:b w:val="0"/>
                <w:color w:val="000000"/>
                <w:sz w:val="16"/>
              </w:rPr>
              <w:t>Navegación interactiva en Power BI: Página 1 (Panorama y mapa) y Página 2 (Capacidad).</w:t>
            </w:r>
          </w:p>
        </w:tc>
      </w:tr>
      <w:tr>
        <w:tc>
          <w:tcPr>
            <w:tcW w:type="dxa" w:w="144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17:00–19:00</w:t>
            </w:r>
          </w:p>
        </w:tc>
        <w:tc>
          <w:tcPr>
            <w:tcW w:type="dxa" w:w="288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Demo Segmentación (F3)</w:t>
            </w:r>
          </w:p>
        </w:tc>
        <w:tc>
          <w:tcPr>
            <w:tcW w:type="dxa" w:w="6408"/>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Página 3: Filtrar 'Sin perfil K-Means' (14,310 casos) y evidenciar cuadratura total.</w:t>
            </w:r>
          </w:p>
        </w:tc>
      </w:tr>
      <w:tr>
        <w:tc>
          <w:tcPr>
            <w:tcW w:type="dxa" w:w="1440"/>
            <w:vAlign w:val="center"/>
            <w:tcMar>
              <w:top w:w="90" w:type="dxa"/>
              <w:start w:w="110" w:type="dxa"/>
              <w:bottom w:w="90" w:type="dxa"/>
              <w:end w:w="110" w:type="dxa"/>
            </w:tcMar>
          </w:tcPr>
          <w:p>
            <w:pPr>
              <w:spacing w:after="0" w:line="252" w:lineRule="auto"/>
            </w:pPr>
            <w:r/>
            <w:r>
              <w:rPr>
                <w:rFonts w:ascii="Arial" w:hAnsi="Arial"/>
                <w:b w:val="0"/>
                <w:color w:val="000000"/>
                <w:sz w:val="16"/>
              </w:rPr>
              <w:t>19:00–21:00</w:t>
            </w:r>
          </w:p>
        </w:tc>
        <w:tc>
          <w:tcPr>
            <w:tcW w:type="dxa" w:w="2880"/>
            <w:vAlign w:val="center"/>
            <w:tcMar>
              <w:top w:w="90" w:type="dxa"/>
              <w:start w:w="110" w:type="dxa"/>
              <w:bottom w:w="90" w:type="dxa"/>
              <w:end w:w="110" w:type="dxa"/>
            </w:tcMar>
          </w:tcPr>
          <w:p>
            <w:pPr>
              <w:spacing w:after="0" w:line="252" w:lineRule="auto"/>
            </w:pPr>
            <w:r/>
            <w:r>
              <w:rPr>
                <w:rFonts w:ascii="Arial" w:hAnsi="Arial"/>
                <w:b w:val="0"/>
                <w:color w:val="000000"/>
                <w:sz w:val="16"/>
              </w:rPr>
              <w:t>Costos y viabilidad (F3)</w:t>
            </w:r>
          </w:p>
        </w:tc>
        <w:tc>
          <w:tcPr>
            <w:tcW w:type="dxa" w:w="6408"/>
            <w:vAlign w:val="center"/>
            <w:tcMar>
              <w:top w:w="90" w:type="dxa"/>
              <w:start w:w="110" w:type="dxa"/>
              <w:bottom w:w="90" w:type="dxa"/>
              <w:end w:w="110" w:type="dxa"/>
            </w:tcMar>
          </w:tcPr>
          <w:p>
            <w:pPr>
              <w:spacing w:after="0" w:line="252" w:lineRule="auto"/>
            </w:pPr>
            <w:r/>
            <w:r>
              <w:rPr>
                <w:rFonts w:ascii="Arial" w:hAnsi="Arial"/>
                <w:b w:val="0"/>
                <w:color w:val="000000"/>
                <w:sz w:val="16"/>
              </w:rPr>
              <w:t>Estructura TCO (17,120 USD), 3 escenarios de beneficio y ROI base del 162.4%.</w:t>
            </w:r>
          </w:p>
        </w:tc>
      </w:tr>
      <w:tr>
        <w:tc>
          <w:tcPr>
            <w:tcW w:type="dxa" w:w="144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21:00–23:00</w:t>
            </w:r>
          </w:p>
        </w:tc>
        <w:tc>
          <w:tcPr>
            <w:tcW w:type="dxa" w:w="288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Conclusiones y límites</w:t>
            </w:r>
          </w:p>
        </w:tc>
        <w:tc>
          <w:tcPr>
            <w:tcW w:type="dxa" w:w="6408"/>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Acciones operativas, no causalidad y valor público generado.</w:t>
            </w:r>
          </w:p>
        </w:tc>
      </w:tr>
      <w:tr>
        <w:tc>
          <w:tcPr>
            <w:tcW w:type="dxa" w:w="1440"/>
            <w:vAlign w:val="center"/>
            <w:tcMar>
              <w:top w:w="90" w:type="dxa"/>
              <w:start w:w="110" w:type="dxa"/>
              <w:bottom w:w="90" w:type="dxa"/>
              <w:end w:w="110" w:type="dxa"/>
            </w:tcMar>
          </w:tcPr>
          <w:p>
            <w:pPr>
              <w:spacing w:after="0" w:line="252" w:lineRule="auto"/>
            </w:pPr>
            <w:r/>
            <w:r>
              <w:rPr>
                <w:rFonts w:ascii="Arial" w:hAnsi="Arial"/>
                <w:b w:val="0"/>
                <w:color w:val="000000"/>
                <w:sz w:val="16"/>
              </w:rPr>
              <w:t>23:00–25:00</w:t>
            </w:r>
          </w:p>
        </w:tc>
        <w:tc>
          <w:tcPr>
            <w:tcW w:type="dxa" w:w="2880"/>
            <w:vAlign w:val="center"/>
            <w:tcMar>
              <w:top w:w="90" w:type="dxa"/>
              <w:start w:w="110" w:type="dxa"/>
              <w:bottom w:w="90" w:type="dxa"/>
              <w:end w:w="110" w:type="dxa"/>
            </w:tcMar>
          </w:tcPr>
          <w:p>
            <w:pPr>
              <w:spacing w:after="0" w:line="252" w:lineRule="auto"/>
            </w:pPr>
            <w:r/>
            <w:r>
              <w:rPr>
                <w:rFonts w:ascii="Arial" w:hAnsi="Arial"/>
                <w:b w:val="0"/>
                <w:color w:val="000000"/>
                <w:sz w:val="16"/>
              </w:rPr>
              <w:t>Margen y preguntas</w:t>
            </w:r>
          </w:p>
        </w:tc>
        <w:tc>
          <w:tcPr>
            <w:tcW w:type="dxa" w:w="6408"/>
            <w:vAlign w:val="center"/>
            <w:tcMar>
              <w:top w:w="90" w:type="dxa"/>
              <w:start w:w="110" w:type="dxa"/>
              <w:bottom w:w="90" w:type="dxa"/>
              <w:end w:w="110" w:type="dxa"/>
            </w:tcMar>
          </w:tcPr>
          <w:p>
            <w:pPr>
              <w:spacing w:after="0" w:line="252" w:lineRule="auto"/>
            </w:pPr>
            <w:r/>
            <w:r>
              <w:rPr>
                <w:rFonts w:ascii="Arial" w:hAnsi="Arial"/>
                <w:b w:val="0"/>
                <w:color w:val="000000"/>
                <w:sz w:val="16"/>
              </w:rPr>
              <w:t>Atención a interrogantes del tribunal evaluador.</w:t>
            </w:r>
          </w:p>
        </w:tc>
      </w:tr>
    </w:tbl>
    <w:p>
      <w:pPr>
        <w:spacing w:after="20"/>
        <w:widowControl w:val="1"/>
      </w:pPr>
    </w:p>
    <w:p>
      <w:pPr>
        <w:pStyle w:val="Heading1"/>
        <w:widowControl w:val="1"/>
      </w:pPr>
      <w:r>
        <w:t>10 Riesgos, límites y control de sesgos</w:t>
      </w:r>
    </w:p>
    <w:tbl>
      <w:tblPr>
        <w:tblW w:type="auto" w:w="0"/>
        <w:jc w:val="center"/>
        <w:tblLayout w:type="autofit"/>
        <w:tblLook w:firstColumn="1" w:firstRow="1" w:lastColumn="0" w:lastRow="0" w:noHBand="0" w:noVBand="1" w:val="04A0"/>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Pr>
      <w:tblGrid>
        <w:gridCol w:w="5083"/>
        <w:gridCol w:w="5083"/>
      </w:tblGrid>
      <w:tr>
        <w:trPr>
          <w:tblHeader w:val="true"/>
        </w:trPr>
        <w:tc>
          <w:tcPr>
            <w:tcW w:type="dxa" w:w="4608"/>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Riesgo Identificado</w:t>
            </w:r>
          </w:p>
        </w:tc>
        <w:tc>
          <w:tcPr>
            <w:tcW w:type="dxa" w:w="6120"/>
            <w:vAlign w:val="center"/>
            <w:tcMar>
              <w:top w:w="90" w:type="dxa"/>
              <w:start w:w="110" w:type="dxa"/>
              <w:bottom w:w="90" w:type="dxa"/>
              <w:end w:w="110" w:type="dxa"/>
            </w:tcMar>
            <w:shd w:fill="1F5D78" w:val="clear"/>
          </w:tcPr>
          <w:p>
            <w:pPr>
              <w:spacing w:after="0" w:line="252" w:lineRule="auto"/>
            </w:pPr>
            <w:r/>
            <w:r>
              <w:rPr>
                <w:rFonts w:ascii="Arial" w:hAnsi="Arial"/>
                <w:b/>
                <w:color w:val="FFFFFF"/>
                <w:sz w:val="16"/>
              </w:rPr>
              <w:t>Mecanismo de Mitigación Implementado</w:t>
            </w:r>
          </w:p>
        </w:tc>
      </w:tr>
      <w:tr>
        <w:tc>
          <w:tcPr>
            <w:tcW w:type="dxa" w:w="4608"/>
            <w:vAlign w:val="center"/>
            <w:tcMar>
              <w:top w:w="90" w:type="dxa"/>
              <w:start w:w="110" w:type="dxa"/>
              <w:bottom w:w="90" w:type="dxa"/>
              <w:end w:w="110" w:type="dxa"/>
            </w:tcMar>
          </w:tcPr>
          <w:p>
            <w:pPr>
              <w:spacing w:after="0" w:line="252" w:lineRule="auto"/>
            </w:pPr>
            <w:r/>
            <w:r>
              <w:rPr>
                <w:rFonts w:ascii="Arial" w:hAnsi="Arial"/>
                <w:b w:val="0"/>
                <w:color w:val="000000"/>
                <w:sz w:val="16"/>
              </w:rPr>
              <w:t>Confundir correlación con causalidad</w:t>
            </w:r>
          </w:p>
        </w:tc>
        <w:tc>
          <w:tcPr>
            <w:tcW w:type="dxa" w:w="6120"/>
            <w:vAlign w:val="center"/>
            <w:tcMar>
              <w:top w:w="90" w:type="dxa"/>
              <w:start w:w="110" w:type="dxa"/>
              <w:bottom w:w="90" w:type="dxa"/>
              <w:end w:w="110" w:type="dxa"/>
            </w:tcMar>
          </w:tcPr>
          <w:p>
            <w:pPr>
              <w:spacing w:after="0" w:line="252" w:lineRule="auto"/>
            </w:pPr>
            <w:r/>
            <w:r>
              <w:rPr>
                <w:rFonts w:ascii="Arial" w:hAnsi="Arial"/>
                <w:b w:val="0"/>
                <w:color w:val="000000"/>
                <w:sz w:val="16"/>
              </w:rPr>
              <w:t>El tablero se define como herramienta de priorización operativa; no afirma causas biunívocas.</w:t>
            </w:r>
          </w:p>
        </w:tc>
      </w:tr>
      <w:tr>
        <w:tc>
          <w:tcPr>
            <w:tcW w:type="dxa" w:w="4608"/>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Sesgo por imputación de solicitudes abiertas</w:t>
            </w:r>
          </w:p>
        </w:tc>
        <w:tc>
          <w:tcPr>
            <w:tcW w:type="dxa" w:w="612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Las 63,467 solicitudes actuales sin duración se conservan como NULL; la tasa de demora excluye estos nulos.</w:t>
            </w:r>
          </w:p>
        </w:tc>
      </w:tr>
      <w:tr>
        <w:tc>
          <w:tcPr>
            <w:tcW w:type="dxa" w:w="4608"/>
            <w:vAlign w:val="center"/>
            <w:tcMar>
              <w:top w:w="90" w:type="dxa"/>
              <w:start w:w="110" w:type="dxa"/>
              <w:bottom w:w="90" w:type="dxa"/>
              <w:end w:w="110" w:type="dxa"/>
            </w:tcMar>
          </w:tcPr>
          <w:p>
            <w:pPr>
              <w:spacing w:after="0" w:line="252" w:lineRule="auto"/>
            </w:pPr>
            <w:r/>
            <w:r>
              <w:rPr>
                <w:rFonts w:ascii="Arial" w:hAnsi="Arial"/>
                <w:b w:val="0"/>
                <w:color w:val="000000"/>
                <w:sz w:val="16"/>
              </w:rPr>
              <w:t>Ocultar casos fuera de segmentación</w:t>
            </w:r>
          </w:p>
        </w:tc>
        <w:tc>
          <w:tcPr>
            <w:tcW w:type="dxa" w:w="6120"/>
            <w:vAlign w:val="center"/>
            <w:tcMar>
              <w:top w:w="90" w:type="dxa"/>
              <w:start w:w="110" w:type="dxa"/>
              <w:bottom w:w="90" w:type="dxa"/>
              <w:end w:w="110" w:type="dxa"/>
            </w:tcMar>
          </w:tcPr>
          <w:p>
            <w:pPr>
              <w:spacing w:after="0" w:line="252" w:lineRule="auto"/>
            </w:pPr>
            <w:r/>
            <w:r>
              <w:rPr>
                <w:rFonts w:ascii="Arial" w:hAnsi="Arial"/>
                <w:b w:val="0"/>
                <w:color w:val="000000"/>
                <w:sz w:val="16"/>
              </w:rPr>
              <w:t>La categoría 'Sin perfil K-Means' (14,310 casos actuales) se muestra explícitamente en el segmentador.</w:t>
            </w:r>
          </w:p>
        </w:tc>
      </w:tr>
      <w:tr>
        <w:tc>
          <w:tcPr>
            <w:tcW w:type="dxa" w:w="4608"/>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Fuga de datos (Data Leakage) en minería</w:t>
            </w:r>
          </w:p>
        </w:tc>
        <w:tc>
          <w:tcPr>
            <w:tcW w:type="dxa" w:w="6120"/>
            <w:vAlign w:val="center"/>
            <w:tcMar>
              <w:top w:w="90" w:type="dxa"/>
              <w:start w:w="110" w:type="dxa"/>
              <w:bottom w:w="90" w:type="dxa"/>
              <w:end w:w="110" w:type="dxa"/>
            </w:tcMar>
            <w:shd w:fill="F5F9FC" w:val="clear"/>
          </w:tcPr>
          <w:p>
            <w:pPr>
              <w:spacing w:after="0" w:line="252" w:lineRule="auto"/>
            </w:pPr>
            <w:r/>
            <w:r>
              <w:rPr>
                <w:rFonts w:ascii="Arial" w:hAnsi="Arial"/>
                <w:b w:val="0"/>
                <w:color w:val="000000"/>
                <w:sz w:val="16"/>
              </w:rPr>
              <w:t>El Árbol CART excluyó minutos_resolucion, closed_date y status para predecir solo con datos de admisión.</w:t>
            </w:r>
          </w:p>
        </w:tc>
      </w:tr>
      <w:tr>
        <w:tc>
          <w:tcPr>
            <w:tcW w:type="dxa" w:w="4608"/>
            <w:vAlign w:val="center"/>
            <w:tcMar>
              <w:top w:w="90" w:type="dxa"/>
              <w:start w:w="110" w:type="dxa"/>
              <w:bottom w:w="90" w:type="dxa"/>
              <w:end w:w="110" w:type="dxa"/>
            </w:tcMar>
          </w:tcPr>
          <w:p>
            <w:pPr>
              <w:spacing w:after="0" w:line="252" w:lineRule="auto"/>
            </w:pPr>
            <w:r/>
            <w:r>
              <w:rPr>
                <w:rFonts w:ascii="Arial" w:hAnsi="Arial"/>
                <w:b w:val="0"/>
                <w:color w:val="000000"/>
                <w:sz w:val="16"/>
              </w:rPr>
              <w:t>Dependencia de conexión en la defensa</w:t>
            </w:r>
          </w:p>
        </w:tc>
        <w:tc>
          <w:tcPr>
            <w:tcW w:type="dxa" w:w="6120"/>
            <w:vAlign w:val="center"/>
            <w:tcMar>
              <w:top w:w="90" w:type="dxa"/>
              <w:start w:w="110" w:type="dxa"/>
              <w:bottom w:w="90" w:type="dxa"/>
              <w:end w:w="110" w:type="dxa"/>
            </w:tcMar>
          </w:tcPr>
          <w:p>
            <w:pPr>
              <w:spacing w:after="0" w:line="252" w:lineRule="auto"/>
            </w:pPr>
            <w:r/>
            <w:r>
              <w:rPr>
                <w:rFonts w:ascii="Arial" w:hAnsi="Arial"/>
                <w:b w:val="0"/>
                <w:color w:val="000000"/>
                <w:sz w:val="16"/>
              </w:rPr>
              <w:t>El modelo Power BI opera en modo Import, permitiendo ejecución fluida sin requerir acceso a red.</w:t>
            </w:r>
          </w:p>
        </w:tc>
      </w:tr>
    </w:tbl>
    <w:p>
      <w:pPr>
        <w:spacing w:after="20"/>
        <w:widowControl w:val="1"/>
      </w:pPr>
    </w:p>
    <w:p>
      <w:pPr>
        <w:pStyle w:val="Heading1"/>
        <w:widowControl w:val="1"/>
      </w:pPr>
      <w:r>
        <w:t>11 Conclusiones y recomendaciones de valor público</w:t>
      </w:r>
    </w:p>
    <w:p>
      <w:pPr>
        <w:widowControl w:val="1"/>
      </w:pPr>
      <w:r>
        <w:rPr>
          <w:rFonts w:ascii="Arial" w:hAnsi="Arial"/>
          <w:b w:val="0"/>
          <w:i w:val="0"/>
          <w:color w:val="000000"/>
          <w:sz w:val="20"/>
        </w:rPr>
        <w:t>El proyecto logró integrar exitosamente las tres unidades de la asignatura en una solución coherente, reproducible y técnicamente verificable. Se conservó la integridad de datos desde la ingesta en SQL Server hasta las visualizaciones ejecutivas en Power BI.</w:t>
      </w:r>
    </w:p>
    <w:p>
      <w:pPr>
        <w:widowControl w:val="1"/>
      </w:pPr>
      <w:r>
        <w:rPr>
          <w:rFonts w:ascii="Arial" w:hAnsi="Arial"/>
          <w:b w:val="0"/>
          <w:i w:val="0"/>
          <w:color w:val="000000"/>
          <w:sz w:val="20"/>
        </w:rPr>
        <w:t>Se recomienda a las autoridades de NYC311: 1) Implementar el clasificador preventivo para asignar inspectores en admisión a las quejas con alto riesgo de superar las 72 horas; 2) Focalizar revisiones de capacidad en las agencias HPD y DOHMH que concentran las mayores demoras; y 3) Monitorear de manera independiente los perfiles de rezago crítico para auditoría judicial.</w:t>
      </w:r>
    </w:p>
    <w:p>
      <w:pPr>
        <w:pStyle w:val="Heading1"/>
        <w:widowControl w:val="1"/>
      </w:pPr>
      <w:r>
        <w:t>12 Fuentes y anexos de reproducibilidad</w:t>
      </w:r>
    </w:p>
    <w:p>
      <w:pPr>
        <w:pStyle w:val="ListBullet"/>
        <w:spacing w:after="60"/>
        <w:widowControl w:val="1"/>
      </w:pPr>
      <w:r>
        <w:rPr>
          <w:rFonts w:ascii="Arial" w:hAnsi="Arial"/>
          <w:b w:val="0"/>
          <w:i w:val="0"/>
          <w:color w:val="000000"/>
          <w:sz w:val="19"/>
        </w:rPr>
        <w:t>[1] PREMISA GENERAL DEL PROYECTO (2).pdf, pp. 7–9, Requisitos y rúbrica oficial de Fase 3.</w:t>
      </w:r>
    </w:p>
    <w:p>
      <w:pPr>
        <w:pStyle w:val="ListBullet"/>
        <w:spacing w:after="60"/>
        <w:widowControl w:val="1"/>
      </w:pPr>
      <w:r>
        <w:rPr>
          <w:rFonts w:ascii="Arial" w:hAnsi="Arial"/>
          <w:b w:val="0"/>
          <w:i w:val="0"/>
          <w:color w:val="000000"/>
          <w:sz w:val="19"/>
        </w:rPr>
        <w:t>[2] catedra_fase1/sql/03_ddl_dw.sql y Package.dtsx, DDL del esquema dimensional y paquete SSIS.</w:t>
      </w:r>
    </w:p>
    <w:p>
      <w:pPr>
        <w:pStyle w:val="ListBullet"/>
        <w:spacing w:after="60"/>
        <w:widowControl w:val="1"/>
      </w:pPr>
      <w:r>
        <w:rPr>
          <w:rFonts w:ascii="Arial" w:hAnsi="Arial"/>
          <w:b w:val="0"/>
          <w:i w:val="0"/>
          <w:color w:val="000000"/>
          <w:sz w:val="19"/>
        </w:rPr>
        <w:t>[3] dmd-fase2/notebooks/fase2_dmd_nyc311_ejecutado.ipynb, Ejecución verificada de Árbol CART y K-Means.</w:t>
      </w:r>
    </w:p>
    <w:p>
      <w:pPr>
        <w:pStyle w:val="ListBullet"/>
        <w:spacing w:after="60"/>
        <w:widowControl w:val="1"/>
      </w:pPr>
      <w:r>
        <w:rPr>
          <w:rFonts w:ascii="Arial" w:hAnsi="Arial"/>
          <w:b w:val="0"/>
          <w:i w:val="0"/>
          <w:color w:val="000000"/>
          <w:sz w:val="19"/>
        </w:rPr>
        <w:t>[4] SQL Server DW_NYC311.mining.vw_dataset_fase2 y notebook F2, fuente actual con 1,312,465 filas; el snapshot F2 original se conserva como referencia histórica.</w:t>
      </w:r>
    </w:p>
    <w:p>
      <w:pPr>
        <w:pStyle w:val="ListBullet"/>
        <w:spacing w:after="60"/>
        <w:widowControl w:val="1"/>
      </w:pPr>
      <w:r>
        <w:rPr>
          <w:rFonts w:ascii="Arial" w:hAnsi="Arial"/>
          <w:b w:val="0"/>
          <w:i w:val="0"/>
          <w:color w:val="000000"/>
          <w:sz w:val="19"/>
        </w:rPr>
        <w:t>[5] fase-3/powerbi/sql/validacion_integracion.sql y fase-3/olap/sql, objetos de integración y validación relacional.</w:t>
      </w:r>
    </w:p>
    <w:p>
      <w:pPr>
        <w:pStyle w:val="ListBullet"/>
        <w:spacing w:after="60"/>
        <w:widowControl w:val="1"/>
      </w:pPr>
      <w:r>
        <w:rPr>
          <w:rFonts w:ascii="Arial" w:hAnsi="Arial"/>
          <w:b w:val="0"/>
          <w:i w:val="0"/>
          <w:color w:val="000000"/>
          <w:sz w:val="19"/>
        </w:rPr>
        <w:t>[6] fase-3/powerbi/fuente_pbip, NYC311_Fase3_Final.pbix y build_nyc311_pbir.py, solución Power BI con PBIR y TMDL.</w:t>
      </w:r>
    </w:p>
    <w:p>
      <w:pPr>
        <w:pStyle w:val="ListBullet"/>
        <w:spacing w:after="60"/>
        <w:widowControl w:val="1"/>
      </w:pPr>
      <w:r>
        <w:rPr>
          <w:rFonts w:ascii="Arial" w:hAnsi="Arial"/>
          <w:b w:val="0"/>
          <w:i w:val="0"/>
          <w:color w:val="000000"/>
          <w:sz w:val="19"/>
        </w:rPr>
        <w:t>[7] entrega/defensa (guion_defensa.md y presentacion_fase3_NYC311.pptx), Materiales de defensa oral.</w:t>
      </w:r>
    </w:p>
    <w:p>
      <w:pPr>
        <w:pStyle w:val="ListBullet"/>
        <w:spacing w:after="60"/>
        <w:widowControl w:val="1"/>
      </w:pPr>
      <w:r>
        <w:rPr>
          <w:rFonts w:ascii="Arial" w:hAnsi="Arial"/>
          <w:b w:val="0"/>
          <w:i w:val="0"/>
          <w:color w:val="000000"/>
          <w:sz w:val="19"/>
        </w:rPr>
        <w:t>[8] NYC Mayor's Management Report 2025, https://www.nyc.gov/assets/operations/downloads/pdf/pmmr2025/311.pdf.</w:t>
      </w:r>
    </w:p>
    <w:sectPr w:rsidR="00FC693F" w:rsidRPr="0006063C" w:rsidSect="00034616">
      <w:headerReference w:type="default" r:id="rId9"/>
      <w:footerReference w:type="default" r:id="rId10"/>
      <w:pgSz w:w="12240" w:h="15840"/>
      <w:pgMar w:top="936" w:right="1037" w:bottom="893"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4A5560"/>
        <w:sz w:val="16"/>
      </w:rPr>
      <w:t xml:space="preserve">Memoria técnica consolidada  |  Página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val="0"/>
        <w:i w:val="0"/>
        <w:color w:val="4A5560"/>
        <w:sz w:val="16"/>
      </w:rPr>
      <w:t>DMD104  |  Fase 3 NYC311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ascii="Arial" w:hAnsi="Arial"/>
      <w:i/>
      <w:iCs/>
      <w:color w:val="4A556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técnica consolidada de Fase 3 NYC311</dc:title>
  <dc:subject>Data Warehouse, Minería de Datos y Business Intelligence</dc:subject>
  <dc:creator>Equipo DMD104</dc:creator>
  <cp:keywords>NYC311, Data Warehouse, Minería de Datos, Power BI, Fase 3</cp:keywords>
  <dc:description>generated by python-docx</dc:description>
  <cp:lastModifiedBy/>
  <cp:revision>1</cp:revision>
  <dcterms:created xsi:type="dcterms:W3CDTF">2013-12-23T23:15:00Z</dcterms:created>
  <dcterms:modified xsi:type="dcterms:W3CDTF">2013-12-23T23:15:00Z</dcterms:modified>
  <cp:category/>
</cp:coreProperties>
</file>