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3f">
      <w:pPr>
        <w:pStyle w:val="Heading2"/>
      </w:pPr>
      <w:r>
        <w:rPr>
          <w:b w:val="1"/>
          <w:bCs w:val="1"/>
        </w:rPr>
        <w:t>2.3 No Path from Metering to Billing</w:t>
      </w:r>
    </w:p>
    <w:p w14:paraId="00000040">
      <w:r>
        <w:t>Even where an open source tool provides raw utilization data, it stops at the boundary of metering. It does not answer the questions a provider needs to run a business:</w:t>
      </w:r>
    </w:p>
    <w:p w14:paraId="00000041">
      <w:pPr>
        <w:numPr>
          <w:ilvl w:val="0"/>
          <w:numId w:val="1"/>
        </w:numPr>
      </w:pPr>
      <w:r>
        <w:t>What is the fully loaded cost of running Tenant A’s workloads, including their share of platform overhead?</w:t>
      </w:r>
    </w:p>
    <w:p w14:paraId="00000042">
      <w:pPr>
        <w:numPr>
          <w:ilvl w:val="0"/>
          <w:numId w:val="1"/>
        </w:numPr>
      </w:pPr>
      <w:r>
        <w:t>How should I price a namespace, a VM, or a managed cluster for a customer who signed a 3-year contract with committed spend?</w:t>
      </w:r>
    </w:p>
    <w:p w14:paraId="00000043">
      <w:pPr>
        <w:numPr>
          <w:ilvl w:val="0"/>
          <w:numId w:val="1"/>
        </w:numPr>
      </w:pPr>
      <w:r>
        <w:t>What is my margin on each customer, and which services are underpriced?</w:t>
      </w:r>
    </w:p>
    <w:p w14:paraId="00000044">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5">
      <w:pPr>
        <w:pStyle w:val="Heading1"/>
      </w:pPr>
      <w:r>
        <w:t>3. The Business Case: Why a CIO Should Care</w:t>
      </w:r>
    </w:p>
    <w:p w14:paraId="00000046">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7">
      <w:pPr>
        <w:pStyle w:val="Heading2"/>
      </w:pPr>
      <w:r>
        <w:rPr>
          <w:b w:val="1"/>
          <w:bCs w:val="1"/>
        </w:rPr>
        <w:t>3.1 Revenue Enablement</w:t>
      </w:r>
    </w:p>
    <w:p w14:paraId="00000048">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9">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a">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b">
      <w:pPr>
        <w:pStyle w:val="Heading2"/>
      </w:pPr>
      <w:r>
        <w:rPr>
          <w:b w:val="1"/>
          <w:bCs w:val="1"/>
        </w:rPr>
        <w:t>3.2 Operational Visibility</w:t>
      </w:r>
    </w:p>
    <w:p w14:paraId="0000004c">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d">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e">
      <w:pPr>
        <w:pStyle w:val="Heading2"/>
      </w:pPr>
      <w:r>
        <w:rPr>
          <w:b w:val="1"/>
          <w:bCs w:val="1"/>
        </w:rPr>
        <w:t>3.3 Compliance and Auditability</w:t>
      </w:r>
    </w:p>
    <w:p w14:paraId="0000004f">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0">
      <w:pPr>
        <w:pStyle w:val="Heading2"/>
      </w:pPr>
      <w:r>
        <w:rPr>
          <w:b w:val="1"/>
          <w:bCs w:val="1"/>
        </w:rPr>
        <w:t>3.4 Competitive Differentiation</w:t>
      </w:r>
    </w:p>
    <w:p w14:paraId="00000051">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2">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3">
      <w:pPr>
        <w:pStyle w:val="Heading1"/>
      </w:pPr>
      <w:r>
        <w:t>4. The On-Premise Advantage: Keeping Financial Data Sovereign</w:t>
      </w:r>
    </w:p>
    <w:p w14:paraId="00000054">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5">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6">
      <w:pPr>
        <w:pStyle w:val="Heading2"/>
      </w:pPr>
      <w:r>
        <w:rPr>
          <w:b w:val="1"/>
          <w:bCs w:val="1"/>
        </w:rPr>
        <w:t>What It Measures</w:t>
      </w:r>
    </w:p>
    <w:p w14:paraId="00000057">
      <w:r>
        <w:t>Red Hat Lightspeed Cost Management provides three tiers of visibility, each building on the previous:</w:t>
      </w:r>
    </w:p>
    <w:p w14:paraId="00000058">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9">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a">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b">
      <w:pPr>
        <w:pStyle w:val="Heading2"/>
      </w:pPr>
      <w:r>
        <w:rPr>
          <w:b w:val="1"/>
          <w:bCs w:val="1"/>
        </w:rPr>
        <w:t>Why It Leads the Market</w:t>
      </w:r>
    </w:p>
    <w:p w14:paraId="0000005c">
      <w:r>
        <w:t>For sovereign cloud providers running OpenShift, Red Hat Lightspeed Cost Management offers capabilities that no competing tool matches in an on-premise deployment:</w:t>
      </w:r>
    </w:p>
    <w:p w14:paraId="0000005d">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e">
      <w:pPr>
        <w:numPr>
          <w:ilvl w:val="0"/>
          <w:numId w:val="1"/>
        </w:numPr>
      </w:pPr>
      <w:r>
        <w:rPr>
          <w:b w:val="1"/>
          <w:bCs w:val="1"/>
        </w:rPr>
        <w:t xml:space="preserve">Overhead distribution. </w:t>
      </w:r>
      <w:r>
        <w:t>No other on-premise tool can categorize and distribute platform overhead back to tenant projects.</w:t>
      </w:r>
    </w:p>
    <w:p w14:paraId="0000005f">
      <w:pPr>
        <w:numPr>
          <w:ilvl w:val="0"/>
          <w:numId w:val="1"/>
        </w:numPr>
      </w:pPr>
      <w:r>
        <w:rPr>
          <w:b w:val="1"/>
          <w:bCs w:val="1"/>
        </w:rPr>
        <w:t xml:space="preserve">Configurable cost models. </w:t>
      </w:r>
      <w:r>
        <w:t>Providers can define per-cluster cost models with tiered rates, tag-based rates, markup, and distribution rules.</w:t>
      </w:r>
    </w:p>
    <w:p w14:paraId="00000060">
      <w:pPr>
        <w:numPr>
          <w:ilvl w:val="0"/>
          <w:numId w:val="1"/>
        </w:numPr>
      </w:pPr>
      <w:r>
        <w:rPr>
          <w:b w:val="1"/>
          <w:bCs w:val="1"/>
        </w:rPr>
        <w:t xml:space="preserve">Multi-cluster aggregation. </w:t>
      </w:r>
      <w:r>
        <w:t>A single instance manages cost data from an entire fleet of clusters.</w:t>
      </w:r>
    </w:p>
    <w:p w14:paraId="00000061">
      <w:pPr>
        <w:numPr>
          <w:ilvl w:val="0"/>
          <w:numId w:val="1"/>
        </w:numPr>
      </w:pPr>
      <w:r>
        <w:rPr>
          <w:b w:val="1"/>
          <w:bCs w:val="1"/>
        </w:rPr>
        <w:t xml:space="preserve">Complete data residency. </w:t>
      </w:r>
      <w:r>
        <w:t>All metering data, cost calculations, and reports are stored and processed locally.</w:t>
      </w:r>
    </w:p>
    <w:p w14:paraId="00000062">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3">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4">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5">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6">
      <w:pPr>
        <w:numPr>
          <w:ilvl w:val="0"/>
          <w:numId w:val="1"/>
        </w:numPr>
      </w:pPr>
      <w:r>
        <w:rPr>
          <w:b w:val="1"/>
          <w:bCs w:val="1"/>
        </w:rPr>
        <w:t xml:space="preserve">100% open source. </w:t>
      </w:r>
      <w:r>
        <w:t>The entire stack is open source (Project Koku). Providers can inspect, audit, and modify any component.</w:t>
      </w:r>
    </w:p>
    <w:p w14:paraId="00000067">
      <w:pPr>
        <w:pStyle w:val="Heading1"/>
      </w:pPr>
      <w:r>
        <w:t>5. From Metering to Monetization: The DCM Approach</w:t>
      </w:r>
    </w:p>
    <w:p w14:paraId="00000068">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9">
      <w:r>
        <w:t>This is where the DCM (Data Center Management) project enters the picture.</w:t>
      </w:r>
    </w:p>
    <w:p w14:paraId="0000006a">
      <w:pPr>
        <w:pStyle w:val="Heading2"/>
      </w:pPr>
      <w:r>
        <w:rPr>
          <w:b w:val="1"/>
          <w:bCs w:val="1"/>
        </w:rPr>
        <w:t>5.1 What Is DCM?</w:t>
      </w:r>
    </w:p>
    <w:p w14:paraId="0000006b">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c">
      <w:pPr>
        <w:numPr>
          <w:ilvl w:val="0"/>
          <w:numId w:val="1"/>
        </w:numPr>
      </w:pPr>
      <w:r>
        <w:rPr>
          <w:b w:val="1"/>
          <w:bCs w:val="1"/>
        </w:rPr>
        <w:t xml:space="preserve">Service Catalog. </w:t>
      </w:r>
      <w:r>
        <w:t>A curated catalog of infrastructure offerings with validated configurations and constraints.</w:t>
      </w:r>
    </w:p>
    <w:p w14:paraId="0000006d">
      <w:pPr>
        <w:numPr>
          <w:ilvl w:val="0"/>
          <w:numId w:val="1"/>
        </w:numPr>
      </w:pPr>
      <w:r>
        <w:rPr>
          <w:b w:val="1"/>
          <w:bCs w:val="1"/>
        </w:rPr>
        <w:t xml:space="preserve">Policy Engine. </w:t>
      </w:r>
      <w:r>
        <w:t>An Open Policy Agent (OPA)-based governance layer that enforces rules at every decision point.</w:t>
      </w:r>
    </w:p>
    <w:p w14:paraId="0000006e">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6f">
      <w:pPr>
        <w:numPr>
          <w:ilvl w:val="0"/>
          <w:numId w:val="1"/>
        </w:numPr>
      </w:pPr>
      <w:r>
        <w:rPr>
          <w:b w:val="1"/>
          <w:bCs w:val="1"/>
        </w:rPr>
        <w:t xml:space="preserve">Lifecycle Management. </w:t>
      </w:r>
      <w:r>
        <w:t>DCM tracks every provisioned resource through its lifecycle — from request to decommissioning.</w:t>
      </w:r>
    </w:p>
    <w:p w14:paraId="00000070">
      <w:pPr>
        <w:pStyle w:val="Heading2"/>
      </w:pPr>
      <w:r>
        <w:rPr>
          <w:b w:val="1"/>
          <w:bCs w:val="1"/>
        </w:rPr>
        <w:t>5.2 Closing the Loop: Cost as a First-Class Service</w:t>
      </w:r>
    </w:p>
    <w:p w14:paraId="00000071">
      <w:r>
        <w:t>The integration of Red Hat Lightspeed Cost Management with DCM closes the loop between provisioning and monetization. When DCM provisions a new cluster for a tenant, the cost management integration automatically:</w:t>
      </w:r>
    </w:p>
    <w:p w14:paraId="00000072">
      <w:pPr>
        <w:numPr>
          <w:ilvl w:val="0"/>
          <w:numId w:val="4"/>
        </w:numPr>
      </w:pPr>
      <w:r>
        <w:rPr>
          <w:b w:val="1"/>
          <w:bCs w:val="1"/>
        </w:rPr>
        <w:t>Registers the cluster</w:t>
      </w:r>
      <w:r>
        <w:t xml:space="preserve"> for metering — the metrics operator begins collecting utilization data within minutes.</w:t>
      </w:r>
    </w:p>
    <w:p w14:paraId="00000073">
      <w:pPr>
        <w:numPr>
          <w:ilvl w:val="0"/>
          <w:numId w:val="4"/>
        </w:numPr>
      </w:pPr>
      <w:r>
        <w:rPr>
          <w:b w:val="1"/>
          <w:bCs w:val="1"/>
        </w:rPr>
        <w:t>Applies the appropriate cost model</w:t>
      </w:r>
      <w:r>
        <w:t xml:space="preserve"> based on the tenant’s contract tier and the catalog item they selected.</w:t>
      </w:r>
    </w:p>
    <w:p w14:paraId="00000074">
      <w:pPr>
        <w:numPr>
          <w:ilvl w:val="0"/>
          <w:numId w:val="4"/>
        </w:numPr>
      </w:pPr>
      <w:r>
        <w:rPr>
          <w:b w:val="1"/>
          <w:bCs w:val="1"/>
        </w:rPr>
        <w:t>Begins tracking costs</w:t>
      </w:r>
      <w:r>
        <w:t xml:space="preserve"> from the moment the cluster is operational, with no manual setup required.</w:t>
      </w:r>
    </w:p>
    <w:p w14:paraId="00000075">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6">
      <w:pPr>
        <w:pStyle w:val="Heading2"/>
      </w:pPr>
      <w:r>
        <w:rPr>
          <w:b w:val="1"/>
          <w:bCs w:val="1"/>
        </w:rPr>
        <w:t>5.3 Three Operating Models</w:t>
      </w:r>
    </w:p>
    <w:p w14:paraId="00000077">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8">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9">
      <w:r>
        <w:rPr>
          <w:b w:val="1"/>
          <w:bCs w:val="1"/>
        </w:rPr>
        <w:t xml:space="preserve">Tenant Self-Service. </w:t>
      </w:r>
      <w:r>
        <w:t>Tenants can view their own metering and cost data through read-only dashboards, understanding their consumption without needing access to the underlying cost management system.</w:t>
      </w:r>
    </w:p>
    <w:p w14:paraId="0000007a">
      <w:pPr>
        <w:pStyle w:val="Heading1"/>
      </w:pPr>
      <w:r>
        <w:t>6. Real-World Applications</w:t>
      </w:r>
    </w:p>
    <w:p w14:paraId="0000007b">
      <w:r>
        <w:t>Sovereign cloud providers and datacenter operators across multiple regions and industries are already finding that the combination of on-premise cost management and sovereign infrastructure orchestration addresses critical business needs.</w:t>
      </w:r>
    </w:p>
    <w:p w14:paraId="0000007c">
      <w:pPr>
        <w:pStyle w:val="Heading2"/>
      </w:pPr>
      <w:r>
        <w:rPr>
          <w:b w:val="1"/>
          <w:bCs w:val="1"/>
        </w:rPr>
        <w:t>Sovereign Cloud Providers</w:t>
      </w:r>
    </w:p>
    <w:p w14:paraId="0000007d">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The provider uses the REST API to export cost data into its existing billing platform, enabling automated invoice generation without any data leaving its sovereign perimeter.</w:t>
      </w:r>
    </w:p>
    <w:p w14:paraId="0000007e">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7f">
      <w:pPr>
        <w:pStyle w:val="Heading2"/>
      </w:pPr>
      <w:r>
        <w:rPr>
          <w:b w:val="1"/>
          <w:bCs w:val="1"/>
        </w:rPr>
        <w:t>Regulated Financial Services</w:t>
      </w:r>
    </w:p>
    <w:p w14:paraId="00000080">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1">
      <w:pPr>
        <w:pStyle w:val="Heading2"/>
      </w:pPr>
      <w:r>
        <w:rPr>
          <w:b w:val="1"/>
          <w:bCs w:val="1"/>
        </w:rPr>
        <w:t>Defense and Government</w:t>
      </w:r>
    </w:p>
    <w:p w14:paraId="00000082">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3">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4">
      <w:pPr>
        <w:pStyle w:val="Heading2"/>
      </w:pPr>
      <w:r>
        <w:rPr>
          <w:b w:val="1"/>
          <w:bCs w:val="1"/>
        </w:rPr>
        <w:t>Internal IT-as-a-Service</w:t>
      </w:r>
    </w:p>
    <w:p w14:paraId="00000085">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6">
      <w:pPr>
        <w:pStyle w:val="Heading1"/>
      </w:pPr>
      <w:r>
        <w:t>7. Architecture at a Glance</w:t>
      </w:r>
    </w:p>
    <w:p w14:paraId="00000087">
      <w:r>
        <w:t>The following diagram illustrates the high-level architecture of a sovereign cloud with integrated metering and cost management.</w:t>
      </w:r>
    </w:p>
    <w:p w14:paraId="00000088">
      <w:pPr>
        <w:jc w:val="center"/>
      </w:pPr>
      <w:r>
        <w:drawing>
          <wp:inline distT="0" distB="0" distL="0" distR="0">
            <wp:extent cx="5943600" cy="783766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943600" cy="7837660"/>
                    </a:xfrm>
                    <a:prstGeom prst="rect"/>
                  </pic:spPr>
                </pic:pic>
              </a:graphicData>
            </a:graphic>
          </wp:inline>
        </w:drawing>
      </w:r>
    </w:p>
    <w:p w14:paraId="00000089">
      <w:pPr>
        <w:jc w:val="center"/>
      </w:pPr>
      <w:r>
        <w:rPr>
          <w:i w:val="1"/>
          <w:iCs w:val="1"/>
          <w:color w:val="666666"/>
          <w:sz w:val="18"/>
          <w:szCs w:val="18"/>
        </w:rPr>
        <w:t>Figure 1: Sovereign cloud architecture. All components — from provisioning through metering, costing, and reporting — run within the sovereign perimeter.</w:t>
      </w:r>
    </w:p>
    <w:p w14:paraId="0000008a">
      <w:r>
        <w:t>Key characteristics of this architecture:</w:t>
      </w:r>
    </w:p>
    <w:p w14:paraId="0000008b">
      <w:pPr>
        <w:numPr>
          <w:ilvl w:val="0"/>
          <w:numId w:val="1"/>
        </w:numPr>
      </w:pPr>
      <w:r>
        <w:rPr>
          <w:b w:val="1"/>
          <w:bCs w:val="1"/>
        </w:rPr>
        <w:t xml:space="preserve">All components run on-premise </w:t>
      </w:r>
      <w:r>
        <w:t>within the provider’s infrastructure.</w:t>
      </w:r>
    </w:p>
    <w:p w14:paraId="0000008c">
      <w:pPr>
        <w:numPr>
          <w:ilvl w:val="0"/>
          <w:numId w:val="1"/>
        </w:numPr>
      </w:pPr>
      <w:r>
        <w:rPr>
          <w:b w:val="1"/>
          <w:bCs w:val="1"/>
        </w:rPr>
        <w:t xml:space="preserve">Metering data flows locally </w:t>
      </w:r>
      <w:r>
        <w:t>from OpenShift clusters to the cost management system via the metrics operator.</w:t>
      </w:r>
    </w:p>
    <w:p w14:paraId="0000008d">
      <w:pPr>
        <w:numPr>
          <w:ilvl w:val="0"/>
          <w:numId w:val="1"/>
        </w:numPr>
      </w:pPr>
      <w:r>
        <w:rPr>
          <w:b w:val="1"/>
          <w:bCs w:val="1"/>
        </w:rPr>
        <w:t xml:space="preserve">Cost models and reports are stored locally </w:t>
      </w:r>
      <w:r>
        <w:t>in the provider’s database.</w:t>
      </w:r>
    </w:p>
    <w:p w14:paraId="0000008e">
      <w:pPr>
        <w:numPr>
          <w:ilvl w:val="0"/>
          <w:numId w:val="1"/>
        </w:numPr>
      </w:pPr>
      <w:r>
        <w:rPr>
          <w:b w:val="1"/>
          <w:bCs w:val="1"/>
        </w:rPr>
        <w:t xml:space="preserve">DCM orchestrates the lifecycle, </w:t>
      </w:r>
      <w:r>
        <w:t>ensuring every provisioned resource is automatically enrolled for metering and costing.</w:t>
      </w:r>
    </w:p>
    <w:p w14:paraId="0000008f">
      <w:pPr>
        <w:numPr>
          <w:ilvl w:val="0"/>
          <w:numId w:val="1"/>
        </w:numPr>
      </w:pPr>
      <w:r>
        <w:rPr>
          <w:b w:val="1"/>
          <w:bCs w:val="1"/>
        </w:rPr>
        <w:t xml:space="preserve">Cost reports can feed local billing/ERP systems, </w:t>
      </w:r>
      <w:r>
        <w:t>completing the path from metering to monetization.</w:t>
      </w:r>
    </w:p>
    <w:p w14:paraId="00000090">
      <w:pPr>
        <w:pStyle w:val="Heading1"/>
      </w:pPr>
      <w:r>
        <w:t>8. Getting Started</w:t>
      </w:r>
    </w:p>
    <w:p w14:paraId="00000091">
      <w:r>
        <w:t>The path from sovereign infrastructure to sovereign monetization is incremental. Organizations do not need to implement all three tiers simultaneously.</w:t>
      </w:r>
    </w:p>
    <w:p w14:paraId="00000092">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3">
      <w:r>
        <w:rPr>
          <w:b w:val="1"/>
          <w:bCs w:val="1"/>
        </w:rPr>
        <w:t xml:space="preserve">Add distribution. </w:t>
      </w:r>
      <w:r>
        <w:t>Attach cost models to clusters to activate Tier 2 overhead distribution. This reveals the true cost structure of the platform.</w:t>
      </w:r>
    </w:p>
    <w:p w14:paraId="00000094">
      <w:r>
        <w:rPr>
          <w:b w:val="1"/>
          <w:bCs w:val="1"/>
        </w:rPr>
        <w:t xml:space="preserve">Enable full costing. </w:t>
      </w:r>
      <w:r>
        <w:t>Add price lists to cost models to activate Tier 3. Define rate cards that match commercial agreements, apply markup, and generate cost reports suitable for billing.</w:t>
      </w:r>
    </w:p>
    <w:p w14:paraId="00000095">
      <w:r>
        <w:rPr>
          <w:b w:val="1"/>
          <w:bCs w:val="1"/>
        </w:rPr>
        <w:t xml:space="preserve">Automate with DCM. </w:t>
      </w:r>
      <w:r>
        <w:t>Integrate the cost management system with DCM to automate enrollment, cost model assignment, and lifecycle management.</w:t>
      </w:r>
    </w:p>
    <w:p w14:paraId="00000096">
      <w:r>
        <w:t>Each tier delivers standalone value. The progression is additive, not disruptive.</w:t>
      </w:r>
    </w:p>
    <w:p w14:paraId="00000097">
      <w:pPr>
        <w:pStyle w:val="Heading1"/>
      </w:pPr>
      <w:r>
        <w:t>9. Conclusion</w:t>
      </w:r>
    </w:p>
    <w:p w14:paraId="00000098">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9">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a">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b">
      <w:r>
        <w:br w:type="page"/>
      </w:r>
    </w:p>
    <w:p w14:paraId="0000009c">
      <w:pPr>
        <w:pStyle w:val="Heading1"/>
      </w:pPr>
      <w:r>
        <w:t>References</w:t>
      </w:r>
    </w:p>
    <w:p w14:paraId="0000009d">
      <w:r>
        <w:rPr>
          <w:color w:val="666666"/>
          <w:sz w:val="18"/>
          <w:szCs w:val="18"/>
        </w:rPr>
        <w:t>1. Forrester, The Sovereign Cloud Platform Landscape, Q4 2025, October 2025.</w:t>
      </w:r>
    </w:p>
    <w:p w14:paraId="0000009e">
      <w:r>
        <w:rPr>
          <w:color w:val="666666"/>
          <w:sz w:val="18"/>
          <w:szCs w:val="18"/>
        </w:rPr>
        <w:t>2. UN Trade and Development, Privacy and Data Protection Legislation Worldwide, February 2025.</w:t>
      </w:r>
    </w:p>
    <w:p w14:paraId="0000009f">
      <w:r>
        <w:rPr>
          <w:color w:val="666666"/>
          <w:sz w:val="18"/>
          <w:szCs w:val="18"/>
        </w:rPr>
        <w:t>3. IDC InfoBrief, Digital Sovereignty in Action: Building Resilient, Compliant, and Transparent Cloud Ecosystems, Document #EUR153367225, August 2025.</w:t>
      </w:r>
    </w:p>
    <w:p w14:paraId="000000a0">
      <w:r>
        <w:rPr>
          <w:color w:val="666666"/>
          <w:sz w:val="18"/>
          <w:szCs w:val="18"/>
        </w:rPr>
        <w:t>4. IDC Market Perspective, Beyond Cost and Compliance: How Red Hat Is Shaping AI, Sovereignty, and Modernization, Document #EUR153890425, November 2025.</w:t>
      </w:r>
    </w:p>
    <w:p w14:paraId="000000a1">
      <w:r>
        <w:rPr>
          <w:color w:val="666666"/>
          <w:sz w:val="18"/>
          <w:szCs w:val="18"/>
        </w:rPr>
        <w:t>5. Gartner, Predicts 70% of Enterprises Adopting GenAI Will Cite Sustainability and Digital Sovereignty as Top Criteria, February 2024.</w:t>
      </w:r>
    </w:p>
    <w:p w14:paraId="000000a2">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