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pPr>
        <w:spacing w:after="60" w:line="276" w:lineRule="auto"/>
        <w:rPr>
          <w:sz w:val="22"/>
          <w:szCs w:val="22"/>
        </w:rPr>
      </w:pPr>
      <w:r>
        <w:rPr>
          <w:b w:val="1"/>
          <w:bCs w:val="1"/>
          <w:sz w:val="22"/>
          <w:szCs w:val="22"/>
        </w:rPr>
        <w:t>Executive Summary</w:t>
      </w:r>
    </w:p>
    <w:p w14:paraId="0000000a">
      <w:pPr>
        <w:spacing w:after="60" w:line="276" w:lineRule="auto"/>
        <w:rPr>
          <w:sz w:val="22"/>
          <w:szCs w:val="22"/>
        </w:rPr>
      </w:pPr>
      <w:r>
        <w:rPr>
          <w:b w:val="1"/>
          <w:bCs w:val="1"/>
          <w:sz w:val="22"/>
          <w:szCs w:val="22"/>
        </w:rPr>
        <w:t>1. The Sovereignty Imperative — and Its Blind Spot</w:t>
      </w:r>
    </w:p>
    <w:p w14:paraId="0000000b">
      <w:pPr>
        <w:spacing w:after="60" w:line="276" w:lineRule="auto"/>
        <w:rPr>
          <w:sz w:val="22"/>
          <w:szCs w:val="22"/>
        </w:rPr>
      </w:pPr>
      <w:r>
        <w:rPr>
          <w:b w:val="1"/>
          <w:bCs w:val="1"/>
          <w:sz w:val="22"/>
          <w:szCs w:val="22"/>
        </w:rPr>
        <w:t>2. Why Existing FinOps Tools Fail in Sovereign Environments</w:t>
      </w:r>
    </w:p>
    <w:p w14:paraId="0000000c">
      <w:pPr>
        <w:spacing w:after="60" w:line="276" w:lineRule="auto"/>
        <w:ind w:left="360"/>
        <w:rPr>
          <w:sz w:val="20"/>
          <w:szCs w:val="20"/>
        </w:rPr>
      </w:pPr>
      <w:r>
        <w:rPr>
          <w:sz w:val="20"/>
          <w:szCs w:val="20"/>
        </w:rPr>
        <w:t>2.1 Data Exfiltration by Design</w:t>
      </w:r>
    </w:p>
    <w:p w14:paraId="0000000d">
      <w:pPr>
        <w:spacing w:after="60" w:line="276" w:lineRule="auto"/>
        <w:ind w:left="360"/>
        <w:rPr>
          <w:sz w:val="20"/>
          <w:szCs w:val="20"/>
        </w:rPr>
      </w:pPr>
      <w:r>
        <w:rPr>
          <w:sz w:val="20"/>
          <w:szCs w:val="20"/>
        </w:rPr>
        <w:t>2.2 Insufficient Depth for Commercial Operations</w:t>
      </w:r>
    </w:p>
    <w:p w14:paraId="0000000e">
      <w:pPr>
        <w:spacing w:after="60" w:line="276" w:lineRule="auto"/>
        <w:ind w:left="360"/>
        <w:rPr>
          <w:sz w:val="20"/>
          <w:szCs w:val="20"/>
        </w:rPr>
      </w:pPr>
      <w:r>
        <w:rPr>
          <w:sz w:val="20"/>
          <w:szCs w:val="20"/>
        </w:rPr>
        <w:t>2.3 No Path from Metering to Billing</w:t>
      </w:r>
    </w:p>
    <w:p w14:paraId="0000000f">
      <w:pPr>
        <w:spacing w:after="60" w:line="276" w:lineRule="auto"/>
        <w:rPr>
          <w:sz w:val="22"/>
          <w:szCs w:val="22"/>
        </w:rPr>
      </w:pPr>
      <w:r>
        <w:rPr>
          <w:b w:val="1"/>
          <w:bCs w:val="1"/>
          <w:sz w:val="22"/>
          <w:szCs w:val="22"/>
        </w:rPr>
        <w:t>3. The Business Case: Why a CIO Should Care</w:t>
      </w:r>
    </w:p>
    <w:p w14:paraId="00000010">
      <w:pPr>
        <w:spacing w:after="60" w:line="276" w:lineRule="auto"/>
        <w:ind w:left="360"/>
        <w:rPr>
          <w:sz w:val="20"/>
          <w:szCs w:val="20"/>
        </w:rPr>
      </w:pPr>
      <w:r>
        <w:rPr>
          <w:sz w:val="20"/>
          <w:szCs w:val="20"/>
        </w:rPr>
        <w:t>3.1 Revenue Enablement</w:t>
      </w:r>
    </w:p>
    <w:p w14:paraId="00000011">
      <w:pPr>
        <w:spacing w:after="60" w:line="276" w:lineRule="auto"/>
        <w:ind w:left="360"/>
        <w:rPr>
          <w:sz w:val="20"/>
          <w:szCs w:val="20"/>
        </w:rPr>
      </w:pPr>
      <w:r>
        <w:rPr>
          <w:sz w:val="20"/>
          <w:szCs w:val="20"/>
        </w:rPr>
        <w:t>3.2 Operational Visibility</w:t>
      </w:r>
    </w:p>
    <w:p w14:paraId="00000012">
      <w:pPr>
        <w:spacing w:after="60" w:line="276" w:lineRule="auto"/>
        <w:ind w:left="360"/>
        <w:rPr>
          <w:sz w:val="20"/>
          <w:szCs w:val="20"/>
        </w:rPr>
      </w:pPr>
      <w:r>
        <w:rPr>
          <w:sz w:val="20"/>
          <w:szCs w:val="20"/>
        </w:rPr>
        <w:t>3.3 Compliance and Auditability</w:t>
      </w:r>
    </w:p>
    <w:p w14:paraId="00000013">
      <w:pPr>
        <w:spacing w:after="60" w:line="276" w:lineRule="auto"/>
        <w:ind w:left="360"/>
        <w:rPr>
          <w:sz w:val="20"/>
          <w:szCs w:val="20"/>
        </w:rPr>
      </w:pPr>
      <w:r>
        <w:rPr>
          <w:sz w:val="20"/>
          <w:szCs w:val="20"/>
        </w:rPr>
        <w:t>3.4 Competitive Differentiation</w:t>
      </w:r>
    </w:p>
    <w:p w14:paraId="00000014">
      <w:pPr>
        <w:spacing w:after="60" w:line="276" w:lineRule="auto"/>
        <w:rPr>
          <w:sz w:val="22"/>
          <w:szCs w:val="22"/>
        </w:rPr>
      </w:pPr>
      <w:r>
        <w:rPr>
          <w:b w:val="1"/>
          <w:bCs w:val="1"/>
          <w:sz w:val="22"/>
          <w:szCs w:val="22"/>
        </w:rPr>
        <w:t>4. The On-Premise Advantage: Keeping Financial Data Sovereign</w:t>
      </w:r>
    </w:p>
    <w:p w14:paraId="00000015">
      <w:pPr>
        <w:spacing w:after="60" w:line="276" w:lineRule="auto"/>
        <w:ind w:left="360"/>
        <w:rPr>
          <w:sz w:val="20"/>
          <w:szCs w:val="20"/>
        </w:rPr>
      </w:pPr>
      <w:r>
        <w:rPr>
          <w:sz w:val="20"/>
          <w:szCs w:val="20"/>
        </w:rPr>
        <w:t>What It Measures</w:t>
      </w:r>
    </w:p>
    <w:p w14:paraId="00000016">
      <w:pPr>
        <w:spacing w:after="60" w:line="276" w:lineRule="auto"/>
        <w:ind w:left="360"/>
        <w:rPr>
          <w:sz w:val="20"/>
          <w:szCs w:val="20"/>
        </w:rPr>
      </w:pPr>
      <w:r>
        <w:rPr>
          <w:sz w:val="20"/>
          <w:szCs w:val="20"/>
        </w:rPr>
        <w:t>Why It Leads the Market</w:t>
      </w:r>
    </w:p>
    <w:p w14:paraId="00000017">
      <w:pPr>
        <w:spacing w:after="60" w:line="276" w:lineRule="auto"/>
        <w:rPr>
          <w:sz w:val="22"/>
          <w:szCs w:val="22"/>
        </w:rPr>
      </w:pPr>
      <w:r>
        <w:rPr>
          <w:b w:val="1"/>
          <w:bCs w:val="1"/>
          <w:sz w:val="22"/>
          <w:szCs w:val="22"/>
        </w:rPr>
        <w:t>5. From Metering to Monetization: The DCM Approach</w:t>
      </w:r>
    </w:p>
    <w:p w14:paraId="00000018">
      <w:pPr>
        <w:spacing w:after="60" w:line="276" w:lineRule="auto"/>
        <w:ind w:left="360"/>
        <w:rPr>
          <w:sz w:val="20"/>
          <w:szCs w:val="20"/>
        </w:rPr>
      </w:pPr>
      <w:r>
        <w:rPr>
          <w:sz w:val="20"/>
          <w:szCs w:val="20"/>
        </w:rPr>
        <w:t>5.1 What Is DCM?</w:t>
      </w:r>
    </w:p>
    <w:p w14:paraId="00000019">
      <w:pPr>
        <w:spacing w:after="60" w:line="276" w:lineRule="auto"/>
        <w:ind w:left="360"/>
        <w:rPr>
          <w:sz w:val="20"/>
          <w:szCs w:val="20"/>
        </w:rPr>
      </w:pPr>
      <w:r>
        <w:rPr>
          <w:sz w:val="20"/>
          <w:szCs w:val="20"/>
        </w:rPr>
        <w:t>5.2 Closing the Loop: Cost as a First-Class Service</w:t>
      </w:r>
    </w:p>
    <w:p w14:paraId="0000001a">
      <w:pPr>
        <w:spacing w:after="60" w:line="276" w:lineRule="auto"/>
        <w:ind w:left="360"/>
        <w:rPr>
          <w:sz w:val="20"/>
          <w:szCs w:val="20"/>
        </w:rPr>
      </w:pPr>
      <w:r>
        <w:rPr>
          <w:sz w:val="20"/>
          <w:szCs w:val="20"/>
        </w:rPr>
        <w:t>5.3 Three Operating Models</w:t>
      </w:r>
    </w:p>
    <w:p w14:paraId="0000001b">
      <w:pPr>
        <w:spacing w:after="60" w:line="276" w:lineRule="auto"/>
        <w:rPr>
          <w:sz w:val="22"/>
          <w:szCs w:val="22"/>
        </w:rPr>
      </w:pPr>
      <w:r>
        <w:rPr>
          <w:b w:val="1"/>
          <w:bCs w:val="1"/>
          <w:sz w:val="22"/>
          <w:szCs w:val="22"/>
        </w:rPr>
        <w:t>6. Real-World Applications</w:t>
      </w:r>
    </w:p>
    <w:p w14:paraId="0000001c">
      <w:pPr>
        <w:spacing w:after="60" w:line="276" w:lineRule="auto"/>
        <w:ind w:left="360"/>
        <w:rPr>
          <w:sz w:val="20"/>
          <w:szCs w:val="20"/>
        </w:rPr>
      </w:pPr>
      <w:r>
        <w:rPr>
          <w:sz w:val="20"/>
          <w:szCs w:val="20"/>
        </w:rPr>
        <w:t>Sovereign Cloud Providers</w:t>
      </w:r>
    </w:p>
    <w:p w14:paraId="0000001d">
      <w:pPr>
        <w:spacing w:after="60" w:line="276" w:lineRule="auto"/>
        <w:ind w:left="360"/>
        <w:rPr>
          <w:sz w:val="20"/>
          <w:szCs w:val="20"/>
        </w:rPr>
      </w:pPr>
      <w:r>
        <w:rPr>
          <w:sz w:val="20"/>
          <w:szCs w:val="20"/>
        </w:rPr>
        <w:t>Regulated Financial Services</w:t>
      </w:r>
    </w:p>
    <w:p w14:paraId="0000001e">
      <w:pPr>
        <w:spacing w:after="60" w:line="276" w:lineRule="auto"/>
        <w:ind w:left="360"/>
        <w:rPr>
          <w:sz w:val="20"/>
          <w:szCs w:val="20"/>
        </w:rPr>
      </w:pPr>
      <w:r>
        <w:rPr>
          <w:sz w:val="20"/>
          <w:szCs w:val="20"/>
        </w:rPr>
        <w:t>Defense and Government</w:t>
      </w:r>
    </w:p>
    <w:p w14:paraId="0000001f">
      <w:pPr>
        <w:spacing w:after="60" w:line="276" w:lineRule="auto"/>
        <w:ind w:left="360"/>
        <w:rPr>
          <w:sz w:val="20"/>
          <w:szCs w:val="20"/>
        </w:rPr>
      </w:pPr>
      <w:r>
        <w:rPr>
          <w:sz w:val="20"/>
          <w:szCs w:val="20"/>
        </w:rPr>
        <w:t>Internal IT-as-a-Service</w:t>
      </w:r>
    </w:p>
    <w:p w14:paraId="00000020">
      <w:pPr>
        <w:spacing w:after="60" w:line="276" w:lineRule="auto"/>
        <w:rPr>
          <w:sz w:val="22"/>
          <w:szCs w:val="22"/>
        </w:rPr>
      </w:pPr>
      <w:r>
        <w:rPr>
          <w:b w:val="1"/>
          <w:bCs w:val="1"/>
          <w:sz w:val="22"/>
          <w:szCs w:val="22"/>
        </w:rPr>
        <w:t>7. Architecture at a Glance</w:t>
      </w:r>
    </w:p>
    <w:p w14:paraId="00000021">
      <w:pPr>
        <w:spacing w:after="60" w:line="276" w:lineRule="auto"/>
        <w:rPr>
          <w:sz w:val="22"/>
          <w:szCs w:val="22"/>
        </w:rPr>
      </w:pPr>
      <w:r>
        <w:rPr>
          <w:b w:val="1"/>
          <w:bCs w:val="1"/>
          <w:sz w:val="22"/>
          <w:szCs w:val="22"/>
        </w:rPr>
        <w:t>8. Getting Started</w:t>
      </w:r>
    </w:p>
    <w:p w14:paraId="00000022">
      <w:pPr>
        <w:spacing w:after="60" w:line="276" w:lineRule="auto"/>
        <w:rPr>
          <w:sz w:val="22"/>
          <w:szCs w:val="22"/>
        </w:rPr>
      </w:pPr>
      <w:r>
        <w:rPr>
          <w:b w:val="1"/>
          <w:bCs w:val="1"/>
          <w:sz w:val="22"/>
          <w:szCs w:val="22"/>
        </w:rPr>
        <w:t>9. Conclusion</w:t>
      </w:r>
    </w:p>
    <w:p w14:paraId="00000023">
      <w:pPr>
        <w:spacing w:after="60" w:line="276" w:lineRule="auto"/>
        <w:rPr>
          <w:sz w:val="22"/>
          <w:szCs w:val="22"/>
        </w:rPr>
      </w:pPr>
      <w:r>
        <w:rPr>
          <w:b w:val="1"/>
          <w:bCs w:val="1"/>
          <w:sz w:val="22"/>
          <w:szCs w:val="22"/>
        </w:rPr>
        <w:t>References</w:t>
      </w:r>
    </w:p>
    <w:p w14:paraId="00000024">
      <w:r>
        <w:br w:type="page"/>
      </w:r>
    </w:p>
    <w:p w14:paraId="00000025">
      <w:pPr>
        <w:pStyle w:val="Heading1"/>
      </w:pPr>
      <w:r>
        <w:t>Executive Summary</w:t>
      </w:r>
    </w:p>
    <w:p w14:paraId="00000026">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27">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 Red Hat Lightspeed Cost Management offers more than 40 cost dimensions, is the only tool that supports metering and costing of OpenShift on IBM Z, LinuxOne, and POWER, and makes all metering and cost data available via REST API for integration with any billing, ERP, or business intelligence system.</w:t>
      </w:r>
    </w:p>
    <w:p w14:paraId="00000028">
      <w:r>
        <w:t>The audience is CIOs, CTOs, and technology leaders at sovereign cloud providers, datacenter operators, managed service providers, and large enterprises that operate an internal IT-as-a-service model for their divisions or subsidiaries.</w:t>
      </w:r>
    </w:p>
    <w:p w14:paraId="00000029">
      <w:pPr>
        <w:pStyle w:val="Heading1"/>
      </w:pPr>
      <w:r>
        <w:t>1. The Sovereignty Imperative — and Its Blind Spot</w:t>
      </w:r>
    </w:p>
    <w:p w14:paraId="0000002a">
      <w:r>
        <w:t>Digital sovereignty has moved from a niche concern to a defining principle of technology strategy. The numbers are unambiguous:</w:t>
      </w:r>
    </w:p>
    <w:p w14:paraId="0000002b">
      <w:pPr>
        <w:numPr>
          <w:ilvl w:val="0"/>
          <w:numId w:val="1"/>
        </w:numPr>
      </w:pPr>
      <w:r>
        <w:rPr>
          <w:b w:val="1"/>
          <w:bCs w:val="1"/>
          <w:color w:val="ee0000"/>
        </w:rPr>
        <w:t xml:space="preserve">85% </w:t>
      </w:r>
      <w:r>
        <w:t>of cloud decision-makers say sovereignty constraints completely or partially influence their choice of cloud vendor.¹</w:t>
      </w:r>
    </w:p>
    <w:p w14:paraId="0000002c">
      <w:pPr>
        <w:numPr>
          <w:ilvl w:val="0"/>
          <w:numId w:val="1"/>
        </w:numPr>
      </w:pPr>
      <w:r>
        <w:rPr>
          <w:b w:val="1"/>
          <w:bCs w:val="1"/>
          <w:color w:val="ee0000"/>
        </w:rPr>
        <w:t xml:space="preserve">79% </w:t>
      </w:r>
      <w:r>
        <w:t>of countries worldwide now have data protection and privacy legislation.²</w:t>
      </w:r>
    </w:p>
    <w:p w14:paraId="0000002d">
      <w:pPr>
        <w:numPr>
          <w:ilvl w:val="0"/>
          <w:numId w:val="1"/>
        </w:numPr>
      </w:pPr>
      <w:r>
        <w:rPr>
          <w:b w:val="1"/>
          <w:bCs w:val="1"/>
          <w:color w:val="ee0000"/>
        </w:rPr>
        <w:t xml:space="preserve">50% </w:t>
      </w:r>
      <w:r>
        <w:t>of European organizations plan to adopt sovereign cloud solutions, up from 31% in 2024.³</w:t>
      </w:r>
    </w:p>
    <w:p w14:paraId="0000002e">
      <w:pPr>
        <w:numPr>
          <w:ilvl w:val="0"/>
          <w:numId w:val="1"/>
        </w:numPr>
      </w:pPr>
      <w:r>
        <w:rPr>
          <w:b w:val="1"/>
          <w:bCs w:val="1"/>
          <w:color w:val="ee0000"/>
        </w:rPr>
        <w:t xml:space="preserve">EUR 12 billion </w:t>
      </w:r>
      <w:r>
        <w:t>— the EU AI Factories initiative commitment to sovereign AI infrastructure.⁴</w:t>
      </w:r>
    </w:p>
    <w:p w14:paraId="0000002f">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30">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31">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32">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33">
      <w:pPr>
        <w:pStyle w:val="Heading1"/>
      </w:pPr>
      <w:r>
        <w:t>2. Why Existing FinOps Tools Fail in Sovereign Environments</w:t>
      </w:r>
    </w:p>
    <w:p w14:paraId="00000034">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35">
      <w:r>
        <w:t>In a sovereign cloud, this model breaks down in three ways.</w:t>
      </w:r>
    </w:p>
    <w:p w14:paraId="00000036">
      <w:pPr>
        <w:pStyle w:val="Heading2"/>
      </w:pPr>
      <w:r>
        <w:rPr>
          <w:b w:val="1"/>
          <w:bCs w:val="1"/>
        </w:rPr>
        <w:t>2.1 Data Exfiltration by Design</w:t>
      </w:r>
    </w:p>
    <w:p w14:paraId="00000037">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38">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39">
      <w:pPr>
        <w:pStyle w:val="Heading2"/>
      </w:pPr>
      <w:r>
        <w:rPr>
          <w:b w:val="1"/>
          <w:bCs w:val="1"/>
        </w:rPr>
        <w:t>2.2 Insufficient Depth for Commercial Operations</w:t>
      </w:r>
    </w:p>
    <w:p w14:paraId="0000003a">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3b">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3c">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3d">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3e">
      <w:pPr>
        <w:numPr>
          <w:ilvl w:val="0"/>
          <w:numId w:val="1"/>
        </w:numPr>
      </w:pPr>
      <w:r>
        <w:rPr>
          <w:b w:val="1"/>
          <w:bCs w:val="1"/>
        </w:rPr>
        <w:t xml:space="preserve">No support for non-x86 architectures. </w:t>
      </w:r>
      <w:r>
        <w:t>These tools do not support OpenShift on IBM Z, LinuxOne, or POWER — platforms that are foundational in regulated banking, government, and mainframe-centric sovereign environments. Providers whose customers run workloads on these architectures have no open source FinOps option other than Red Hat Lightspeed Cost Management.</w:t>
      </w:r>
    </w:p>
    <w:p w14:paraId="0000003f">
      <w:pPr>
        <w:pStyle w:val="Heading2"/>
      </w:pPr>
      <w:r>
        <w:rPr>
          <w:b w:val="1"/>
          <w:bCs w:val="1"/>
        </w:rPr>
        <w:t>2.3 No Path from Metering to Billing</w:t>
      </w:r>
    </w:p>
    <w:p w14:paraId="00000040">
      <w:r>
        <w:t>Even where an open source tool provides raw utilization data, it stops at the boundary of metering. It does not answer the questions a provider needs to run a business:</w:t>
      </w:r>
    </w:p>
    <w:p w14:paraId="00000041">
      <w:pPr>
        <w:numPr>
          <w:ilvl w:val="0"/>
          <w:numId w:val="1"/>
        </w:numPr>
      </w:pPr>
      <w:r>
        <w:t>What is the fully loaded cost of running Tenant A’s workloads, including their share of platform overhead?</w:t>
      </w:r>
    </w:p>
    <w:p w14:paraId="00000042">
      <w:pPr>
        <w:numPr>
          <w:ilvl w:val="0"/>
          <w:numId w:val="1"/>
        </w:numPr>
      </w:pPr>
      <w:r>
        <w:t>How should I price a namespace, a VM, or a managed cluster for a customer who signed a 3-year contract with committed spend?</w:t>
      </w:r>
    </w:p>
    <w:p w14:paraId="00000043">
      <w:pPr>
        <w:numPr>
          <w:ilvl w:val="0"/>
          <w:numId w:val="1"/>
        </w:numPr>
      </w:pPr>
      <w:r>
        <w:t>What is my margin on each customer, and which services are underpriced?</w:t>
      </w:r>
    </w:p>
    <w:p w14:paraId="00000044">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45">
      <w:pPr>
        <w:pStyle w:val="Heading1"/>
      </w:pPr>
      <w:r>
        <w:t>3. The Business Case: Why a CIO Should Care</w:t>
      </w:r>
    </w:p>
    <w:p w14:paraId="00000046">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47">
      <w:pPr>
        <w:pStyle w:val="Heading2"/>
      </w:pPr>
      <w:r>
        <w:rPr>
          <w:b w:val="1"/>
          <w:bCs w:val="1"/>
        </w:rPr>
        <w:t>3.1 Revenue Enablement</w:t>
      </w:r>
    </w:p>
    <w:p w14:paraId="00000048">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49">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4a">
      <w:r>
        <w:t>Critically, all metering and cost data is available via a comprehensive REST API, enabling direct integration with any billing platform, ERP system, or business intelligence tool — Excel, Power BI, Tableau, Grafana, and others — so the financial data stays sovereign while still powering the provider’s entire commercial stack.</w:t>
      </w:r>
    </w:p>
    <w:p w14:paraId="0000004b">
      <w:pPr>
        <w:pStyle w:val="Heading2"/>
      </w:pPr>
      <w:r>
        <w:rPr>
          <w:b w:val="1"/>
          <w:bCs w:val="1"/>
        </w:rPr>
        <w:t>3.2 Operational Visibility</w:t>
      </w:r>
    </w:p>
    <w:p w14:paraId="0000004c">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4d">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4e">
      <w:pPr>
        <w:pStyle w:val="Heading2"/>
      </w:pPr>
      <w:r>
        <w:rPr>
          <w:b w:val="1"/>
          <w:bCs w:val="1"/>
        </w:rPr>
        <w:t>3.3 Compliance and Auditability</w:t>
      </w:r>
    </w:p>
    <w:p w14:paraId="0000004f">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50">
      <w:pPr>
        <w:pStyle w:val="Heading2"/>
      </w:pPr>
      <w:r>
        <w:rPr>
          <w:b w:val="1"/>
          <w:bCs w:val="1"/>
        </w:rPr>
        <w:t>3.4 Competitive Differentiation</w:t>
      </w:r>
    </w:p>
    <w:p w14:paraId="00000051">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52">
      <w:r>
        <w:t>The differentiation extends to technology coverage. Red Hat Lightspeed Cost Management is the only metering and cost management tool — open source or commercial — that supports OpenShift on IBM Z, LinuxOne, and POWER. These platforms remain essential in sovereign banking, government, and mainframe-centric environments. No competing FinOps tool offers this coverage, making it a decisive factor for providers whose customers run workloads on these architectures.</w:t>
      </w:r>
    </w:p>
    <w:p w14:paraId="00000053">
      <w:pPr>
        <w:pStyle w:val="Heading1"/>
      </w:pPr>
      <w:r>
        <w:t>4. The On-Premise Advantage: Keeping Financial Data Sovereign</w:t>
      </w:r>
    </w:p>
    <w:p w14:paraId="00000054">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55">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56">
      <w:pPr>
        <w:pStyle w:val="Heading2"/>
      </w:pPr>
      <w:r>
        <w:rPr>
          <w:b w:val="1"/>
          <w:bCs w:val="1"/>
        </w:rPr>
        <w:t>What It Measures</w:t>
      </w:r>
    </w:p>
    <w:p w14:paraId="00000057">
      <w:r>
        <w:t>Red Hat Lightspeed Cost Management provides three tiers of visibility, each building on the previous:</w:t>
      </w:r>
    </w:p>
    <w:p w14:paraId="00000058">
      <w:r>
        <w:rPr>
          <w:b w:val="1"/>
          <w:bCs w:val="1"/>
        </w:rPr>
        <w:t xml:space="preserve">Tier 1 — Basic Metering. </w:t>
      </w:r>
      <w:r>
        <w:t>Without any configuration beyond deploying the metrics operator on each OpenShift cluster, the system collects and reports raw utilization and capacity data: CPU, memory, and storage. The metrics operator runs on all supported architectures — x86-64, ARM, IBM Z, LinuxOne, and POWER — making Red Hat Lightspeed Cost Management the only tool that can meter OpenShift across the full range of platforms found in sovereign environments.</w:t>
      </w:r>
    </w:p>
    <w:p w14:paraId="00000059">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5a">
      <w:r>
        <w:rPr>
          <w:b w:val="1"/>
          <w:bCs w:val="1"/>
        </w:rPr>
        <w:t xml:space="preserve">Tier 3 — Full Cost Management. </w:t>
      </w:r>
      <w:r>
        <w:t>By adding a price list to the cost model, the system applies rates across more than 40 cost dimensions: CPU core-hours (usage, request, and effective), memory GB-hours, storage GB-months, node cost per core-hour or per month, cluster cost per month, OpenShift Virtualization VM hours and VM core-hours, PVC months, project months, and GPU (physical devices and NVIDIA MIG slices) — with every metric parameterizable by tag for fine-grained allocation. All metering and cost data is available via a comprehensive REST API, enabling integration with any billing, ERP, or BI system.</w:t>
      </w:r>
    </w:p>
    <w:p w14:paraId="0000005b">
      <w:pPr>
        <w:pStyle w:val="Heading2"/>
      </w:pPr>
      <w:r>
        <w:rPr>
          <w:b w:val="1"/>
          <w:bCs w:val="1"/>
        </w:rPr>
        <w:t>Why It Leads the Market</w:t>
      </w:r>
    </w:p>
    <w:p w14:paraId="0000005c">
      <w:r>
        <w:t>For sovereign cloud providers running OpenShift, Red Hat Lightspeed Cost Management offers capabilities that no competing tool matches in an on-premise deployment:</w:t>
      </w:r>
    </w:p>
    <w:p w14:paraId="0000005d">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5e">
      <w:pPr>
        <w:numPr>
          <w:ilvl w:val="0"/>
          <w:numId w:val="1"/>
        </w:numPr>
      </w:pPr>
      <w:r>
        <w:rPr>
          <w:b w:val="1"/>
          <w:bCs w:val="1"/>
        </w:rPr>
        <w:t xml:space="preserve">Overhead distribution. </w:t>
      </w:r>
      <w:r>
        <w:t>No other on-premise tool can categorize and distribute platform overhead back to tenant projects.</w:t>
      </w:r>
    </w:p>
    <w:p w14:paraId="0000005f">
      <w:pPr>
        <w:numPr>
          <w:ilvl w:val="0"/>
          <w:numId w:val="1"/>
        </w:numPr>
      </w:pPr>
      <w:r>
        <w:rPr>
          <w:b w:val="1"/>
          <w:bCs w:val="1"/>
        </w:rPr>
        <w:t xml:space="preserve">Configurable cost models. </w:t>
      </w:r>
      <w:r>
        <w:t>Providers can define per-cluster cost models with tiered rates, tag-based rates, markup, and distribution rules.</w:t>
      </w:r>
    </w:p>
    <w:p w14:paraId="00000060">
      <w:pPr>
        <w:numPr>
          <w:ilvl w:val="0"/>
          <w:numId w:val="1"/>
        </w:numPr>
      </w:pPr>
      <w:r>
        <w:rPr>
          <w:b w:val="1"/>
          <w:bCs w:val="1"/>
        </w:rPr>
        <w:t xml:space="preserve">Multi-cluster aggregation. </w:t>
      </w:r>
      <w:r>
        <w:t>A single instance manages cost data from an entire fleet of clusters.</w:t>
      </w:r>
    </w:p>
    <w:p w14:paraId="00000061">
      <w:pPr>
        <w:numPr>
          <w:ilvl w:val="0"/>
          <w:numId w:val="1"/>
        </w:numPr>
      </w:pPr>
      <w:r>
        <w:rPr>
          <w:b w:val="1"/>
          <w:bCs w:val="1"/>
        </w:rPr>
        <w:t xml:space="preserve">Fine-grained RBAC. </w:t>
      </w:r>
      <w:r>
        <w:t>The provider aggregates all clusters, VMs, namespaces, and projects in a single instance, then uses role-based access control to restrict what each user — or each sovereign cloud tenant — can see and do. A tenant given read access sees only their own namespaces and costs, never another tenant’s data.</w:t>
      </w:r>
    </w:p>
    <w:p w14:paraId="00000062">
      <w:pPr>
        <w:numPr>
          <w:ilvl w:val="0"/>
          <w:numId w:val="1"/>
        </w:numPr>
      </w:pPr>
      <w:r>
        <w:rPr>
          <w:b w:val="1"/>
          <w:bCs w:val="1"/>
        </w:rPr>
        <w:t xml:space="preserve">Complete data residency. </w:t>
      </w:r>
      <w:r>
        <w:t>All metering data, cost calculations, and reports are stored and processed locally.</w:t>
      </w:r>
    </w:p>
    <w:p w14:paraId="00000063">
      <w:pPr>
        <w:numPr>
          <w:ilvl w:val="0"/>
          <w:numId w:val="1"/>
        </w:numPr>
      </w:pPr>
      <w:r>
        <w:rPr>
          <w:b w:val="1"/>
          <w:bCs w:val="1"/>
        </w:rPr>
        <w:t xml:space="preserve">Multi-architecture. </w:t>
      </w:r>
      <w:r>
        <w:t>The only FinOps tool — open source or commercial — that supports OpenShift on IBM Z, LinuxOne, and POWER, alongside x86-64 and ARM.</w:t>
      </w:r>
    </w:p>
    <w:p w14:paraId="00000064">
      <w:pPr>
        <w:numPr>
          <w:ilvl w:val="0"/>
          <w:numId w:val="1"/>
        </w:numPr>
      </w:pPr>
      <w:r>
        <w:rPr>
          <w:b w:val="1"/>
          <w:bCs w:val="1"/>
        </w:rPr>
        <w:t xml:space="preserve">GPU and AI workload metering. </w:t>
      </w:r>
      <w:r>
        <w:t>Native support for GPU cost tracking (physical devices and NVIDIA MIG slices) and OpenShift AI subscription metering. Support for Model-as-a-Service inference costing and agentic AI workload attribution is in active development.</w:t>
      </w:r>
    </w:p>
    <w:p w14:paraId="00000065">
      <w:pPr>
        <w:numPr>
          <w:ilvl w:val="0"/>
          <w:numId w:val="1"/>
        </w:numPr>
      </w:pPr>
      <w:r>
        <w:rPr>
          <w:b w:val="1"/>
          <w:bCs w:val="1"/>
        </w:rPr>
        <w:t xml:space="preserve">Full API data export. </w:t>
      </w:r>
      <w:r>
        <w:t>All metering and cost data is available via REST API, enabling integration with billing platforms, ERP systems, and BI tools without data leaving the sovereign perimeter.</w:t>
      </w:r>
    </w:p>
    <w:p w14:paraId="00000066">
      <w:pPr>
        <w:numPr>
          <w:ilvl w:val="0"/>
          <w:numId w:val="1"/>
        </w:numPr>
      </w:pPr>
      <w:r>
        <w:rPr>
          <w:b w:val="1"/>
          <w:bCs w:val="1"/>
        </w:rPr>
        <w:t xml:space="preserve">Cloud cost management. </w:t>
      </w:r>
      <w:r>
        <w:t>Beyond on-premise OpenShift, it also supports cloud costs on Amazon Web Services, Microsoft Azure, and Google Cloud — any cloud service, including private offers and managed OpenShift (ROSA and ARO). For ROSA and ARO, the cost of OpenShift subscriptions is automatically factored in and distributed to workloads, giving hybrid sovereign environments a single pane of glass.</w:t>
      </w:r>
    </w:p>
    <w:p w14:paraId="00000067">
      <w:pPr>
        <w:numPr>
          <w:ilvl w:val="0"/>
          <w:numId w:val="1"/>
        </w:numPr>
      </w:pPr>
      <w:r>
        <w:rPr>
          <w:b w:val="1"/>
          <w:bCs w:val="1"/>
        </w:rPr>
        <w:t xml:space="preserve">Resource optimization. </w:t>
      </w:r>
      <w:r>
        <w:t>Beyond cost tracking, the platform includes a resource optimization feature that provides rightsizing recommendations for containers, deployments, and jobs — offering both cost-optimized and performance-optimized options.</w:t>
      </w:r>
    </w:p>
    <w:p w14:paraId="00000068">
      <w:pPr>
        <w:numPr>
          <w:ilvl w:val="0"/>
          <w:numId w:val="1"/>
        </w:numPr>
      </w:pPr>
      <w:r>
        <w:rPr>
          <w:b w:val="1"/>
          <w:bCs w:val="1"/>
        </w:rPr>
        <w:t xml:space="preserve">100% open source. </w:t>
      </w:r>
      <w:r>
        <w:t>The entire stack is open source (Project Koku). Providers can inspect, audit, and modify any component.</w:t>
      </w:r>
    </w:p>
    <w:p w14:paraId="00000069">
      <w:pPr>
        <w:pStyle w:val="Heading1"/>
      </w:pPr>
      <w:r>
        <w:t>5. From Metering to Monetization: The DCM Approach</w:t>
      </w:r>
    </w:p>
    <w:p w14:paraId="0000006a">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6b">
      <w:r>
        <w:t>This is where the DCM (Data Center Management) project enters the picture.</w:t>
      </w:r>
    </w:p>
    <w:p w14:paraId="0000006c">
      <w:pPr>
        <w:pStyle w:val="Heading2"/>
      </w:pPr>
      <w:r>
        <w:rPr>
          <w:b w:val="1"/>
          <w:bCs w:val="1"/>
        </w:rPr>
        <w:t>5.1 What Is DCM?</w:t>
      </w:r>
    </w:p>
    <w:p w14:paraId="0000006d">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6e">
      <w:pPr>
        <w:numPr>
          <w:ilvl w:val="0"/>
          <w:numId w:val="1"/>
        </w:numPr>
      </w:pPr>
      <w:r>
        <w:rPr>
          <w:b w:val="1"/>
          <w:bCs w:val="1"/>
        </w:rPr>
        <w:t xml:space="preserve">Service Catalog. </w:t>
      </w:r>
      <w:r>
        <w:t>A curated catalog of infrastructure offerings with validated configurations and constraints.</w:t>
      </w:r>
    </w:p>
    <w:p w14:paraId="0000006f">
      <w:pPr>
        <w:numPr>
          <w:ilvl w:val="0"/>
          <w:numId w:val="1"/>
        </w:numPr>
      </w:pPr>
      <w:r>
        <w:rPr>
          <w:b w:val="1"/>
          <w:bCs w:val="1"/>
        </w:rPr>
        <w:t xml:space="preserve">Policy Engine. </w:t>
      </w:r>
      <w:r>
        <w:t>An Open Policy Agent (OPA)-based governance layer that enforces rules at every decision point.</w:t>
      </w:r>
    </w:p>
    <w:p w14:paraId="00000070">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71">
      <w:pPr>
        <w:numPr>
          <w:ilvl w:val="0"/>
          <w:numId w:val="1"/>
        </w:numPr>
      </w:pPr>
      <w:r>
        <w:rPr>
          <w:b w:val="1"/>
          <w:bCs w:val="1"/>
        </w:rPr>
        <w:t xml:space="preserve">Lifecycle Management. </w:t>
      </w:r>
      <w:r>
        <w:t>DCM tracks every provisioned resource through its lifecycle — from request to decommissioning.</w:t>
      </w:r>
    </w:p>
    <w:p w14:paraId="00000072">
      <w:pPr>
        <w:pStyle w:val="Heading2"/>
      </w:pPr>
      <w:r>
        <w:rPr>
          <w:b w:val="1"/>
          <w:bCs w:val="1"/>
        </w:rPr>
        <w:t>5.2 Closing the Loop: Cost as a First-Class Service</w:t>
      </w:r>
    </w:p>
    <w:p w14:paraId="00000073">
      <w:r>
        <w:t>The integration of Red Hat Lightspeed Cost Management with DCM closes the loop between provisioning and monetization. When DCM provisions a new cluster for a tenant, the cost management integration automatically:</w:t>
      </w:r>
    </w:p>
    <w:p w14:paraId="00000074">
      <w:pPr>
        <w:numPr>
          <w:ilvl w:val="0"/>
          <w:numId w:val="4"/>
        </w:numPr>
      </w:pPr>
      <w:r>
        <w:rPr>
          <w:b w:val="1"/>
          <w:bCs w:val="1"/>
        </w:rPr>
        <w:t>Registers the cluster</w:t>
      </w:r>
      <w:r>
        <w:t xml:space="preserve"> for metering — the metrics operator begins collecting utilization data within minutes.</w:t>
      </w:r>
    </w:p>
    <w:p w14:paraId="00000075">
      <w:pPr>
        <w:numPr>
          <w:ilvl w:val="0"/>
          <w:numId w:val="4"/>
        </w:numPr>
      </w:pPr>
      <w:r>
        <w:rPr>
          <w:b w:val="1"/>
          <w:bCs w:val="1"/>
        </w:rPr>
        <w:t>Applies the appropriate cost model</w:t>
      </w:r>
      <w:r>
        <w:t xml:space="preserve"> based on the tenant’s contract tier and the catalog item they selected.</w:t>
      </w:r>
    </w:p>
    <w:p w14:paraId="00000076">
      <w:pPr>
        <w:numPr>
          <w:ilvl w:val="0"/>
          <w:numId w:val="4"/>
        </w:numPr>
      </w:pPr>
      <w:r>
        <w:rPr>
          <w:b w:val="1"/>
          <w:bCs w:val="1"/>
        </w:rPr>
        <w:t>Begins tracking costs</w:t>
      </w:r>
      <w:r>
        <w:t xml:space="preserve"> from the moment the cluster is operational, with no manual setup required.</w:t>
      </w:r>
    </w:p>
    <w:p w14:paraId="00000077">
      <w:r>
        <w:t>This applies uniformly across all supported architectures — x86-64, ARM, IBM Z, LinuxOne, and POWER — and includes GPU overhead distribution for clusters equipped with GPUs. All cost data is accessible via the REST API, enabling DCM or downstream billing systems to query costs programmatically.</w:t>
      </w:r>
    </w:p>
    <w:p w14:paraId="00000078">
      <w:pPr>
        <w:pStyle w:val="Heading2"/>
      </w:pPr>
      <w:r>
        <w:rPr>
          <w:b w:val="1"/>
          <w:bCs w:val="1"/>
        </w:rPr>
        <w:t>5.3 Three Operating Models</w:t>
      </w:r>
    </w:p>
    <w:p w14:paraId="00000079">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7a">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7b">
      <w:r>
        <w:rPr>
          <w:b w:val="1"/>
          <w:bCs w:val="1"/>
        </w:rPr>
        <w:t xml:space="preserve">Tenant Self-Service. </w:t>
      </w:r>
      <w:r>
        <w:t>Tenants can view their own metering and cost data through read-only dashboards, understanding their consumption without needing access to the underlying cost management system. Fine-grained RBAC ensures each tenant sees only their own namespaces, clusters, and costs — never another tenant’s data — preserving multi-tenant isolation.</w:t>
      </w:r>
    </w:p>
    <w:p w14:paraId="0000007c">
      <w:pPr>
        <w:pStyle w:val="Heading1"/>
      </w:pPr>
      <w:r>
        <w:t>6. Real-World Applications</w:t>
      </w:r>
    </w:p>
    <w:p w14:paraId="0000007d">
      <w:r>
        <w:t>Sovereign cloud providers and datacenter operators across multiple regions and industries are already finding that the combination of on-premise cost management and sovereign infrastructure orchestration addresses critical business needs.</w:t>
      </w:r>
    </w:p>
    <w:p w14:paraId="0000007e">
      <w:pPr>
        <w:pStyle w:val="Heading2"/>
      </w:pPr>
      <w:r>
        <w:rPr>
          <w:b w:val="1"/>
          <w:bCs w:val="1"/>
        </w:rPr>
        <w:t>Sovereign Cloud Providers</w:t>
      </w:r>
    </w:p>
    <w:p w14:paraId="0000007f">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 Fine-grained RBAC ensures each tenant sees only their own namespaces and costs, preserving multi-tenant isolation. The provider uses the REST API to export cost data into its existing billing platform, enabling automated invoice generation without any data leaving its sovereign perimeter.</w:t>
      </w:r>
    </w:p>
    <w:p w14:paraId="00000080">
      <w:r>
        <w:t>An Indian sovereign AI infrastructure provider built a sovereign AI factory on Red Hat technologies, serving government entities and businesses that require localized, high-performance AI infrastructure with data that remains within the country’s borders. GPU metering enables the provider to bill customers per GPU-hour and per NVIDIA MIG slice, a granularity that no other on-premise FinOps tool provides.</w:t>
      </w:r>
    </w:p>
    <w:p w14:paraId="00000081">
      <w:pPr>
        <w:pStyle w:val="Heading2"/>
      </w:pPr>
      <w:r>
        <w:rPr>
          <w:b w:val="1"/>
          <w:bCs w:val="1"/>
        </w:rPr>
        <w:t>Regulated Financial Services</w:t>
      </w:r>
    </w:p>
    <w:p w14:paraId="00000082">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 The bank’s core systems run on IBM Z; Red Hat Lightspeed Cost Management is the only tool that can meter OpenShift workloads on Z and the GPU clusters in a unified view, with all cost data exported via the API to the bank’s internal ERP system.</w:t>
      </w:r>
    </w:p>
    <w:p w14:paraId="00000083">
      <w:pPr>
        <w:pStyle w:val="Heading2"/>
      </w:pPr>
      <w:r>
        <w:rPr>
          <w:b w:val="1"/>
          <w:bCs w:val="1"/>
        </w:rPr>
        <w:t>Defense and Government</w:t>
      </w:r>
    </w:p>
    <w:p w14:paraId="00000084">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85">
      <w:r>
        <w:t>Government agencies across Europe are building sovereign cloud infrastructure aligned with national strategies: France’s SecNumCloud, Germany’s BSI C5, Italy’s Polo Strategico Nazionale, Spain’s National Cloud Strategy, and Nordic “Plan B” hybrid architectures. Many of these environments include IBM Z or POWER systems for legacy workloads, making cross-architecture metering a key requirement.</w:t>
      </w:r>
    </w:p>
    <w:p w14:paraId="00000086">
      <w:pPr>
        <w:pStyle w:val="Heading2"/>
      </w:pPr>
      <w:r>
        <w:rPr>
          <w:b w:val="1"/>
          <w:bCs w:val="1"/>
        </w:rPr>
        <w:t>Internal IT-as-a-Service</w:t>
      </w:r>
    </w:p>
    <w:p w14:paraId="00000087">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 Fine-grained RBAC enables each business unit to view its own cost data directly — without seeing other divisions’ consumption — making self-service chargeback practical even across organizational boundaries. In organizations that span x86-64, ARM, and IBM Z or POWER infrastructure, the tool provides a unified view of costs across all platforms. The REST API enables automated export of cost reports to the enterprise’s financial systems, eliminating manual reconciliation.</w:t>
      </w:r>
    </w:p>
    <w:p w14:paraId="00000088">
      <w:pPr>
        <w:pStyle w:val="Heading1"/>
      </w:pPr>
      <w:r>
        <w:t>7. Architecture at a Glance</w:t>
      </w:r>
    </w:p>
    <w:p w14:paraId="00000089">
      <w:r>
        <w:t>The following diagram illustrates the high-level architecture of a sovereign cloud with integrated metering and cost management.</w:t>
      </w:r>
    </w:p>
    <w:p w14:paraId="0000008a">
      <w:pPr>
        <w:jc w:val="center"/>
      </w:pPr>
      <w:r>
        <w:drawing>
          <wp:inline distT="0" distB="0" distL="0" distR="0">
            <wp:extent cx="5408676" cy="7132270"/>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408676" cy="7132270"/>
                    </a:xfrm>
                    <a:prstGeom prst="rect"/>
                  </pic:spPr>
                </pic:pic>
              </a:graphicData>
            </a:graphic>
          </wp:inline>
        </w:drawing>
      </w:r>
    </w:p>
    <w:p w14:paraId="0000008b">
      <w:pPr>
        <w:jc w:val="center"/>
      </w:pPr>
      <w:r>
        <w:rPr>
          <w:i w:val="1"/>
          <w:iCs w:val="1"/>
          <w:color w:val="666666"/>
          <w:sz w:val="18"/>
          <w:szCs w:val="18"/>
        </w:rPr>
        <w:t>Figure 1: Sovereign cloud architecture. All components — from provisioning through metering, costing, and reporting — run within the sovereign perimeter.</w:t>
      </w:r>
    </w:p>
    <w:p w14:paraId="0000008c">
      <w:r>
        <w:t>Key characteristics of this architecture:</w:t>
      </w:r>
    </w:p>
    <w:p w14:paraId="0000008d">
      <w:pPr>
        <w:numPr>
          <w:ilvl w:val="0"/>
          <w:numId w:val="1"/>
        </w:numPr>
      </w:pPr>
      <w:r>
        <w:rPr>
          <w:b w:val="1"/>
          <w:bCs w:val="1"/>
        </w:rPr>
        <w:t xml:space="preserve">All components run on-premise </w:t>
      </w:r>
      <w:r>
        <w:t>within the provider’s infrastructure.</w:t>
      </w:r>
    </w:p>
    <w:p w14:paraId="0000008e">
      <w:pPr>
        <w:numPr>
          <w:ilvl w:val="0"/>
          <w:numId w:val="1"/>
        </w:numPr>
      </w:pPr>
      <w:r>
        <w:rPr>
          <w:b w:val="1"/>
          <w:bCs w:val="1"/>
        </w:rPr>
        <w:t xml:space="preserve">Metering data flows locally </w:t>
      </w:r>
      <w:r>
        <w:t>from OpenShift clusters to the cost management system via the metrics operator.</w:t>
      </w:r>
    </w:p>
    <w:p w14:paraId="0000008f">
      <w:pPr>
        <w:numPr>
          <w:ilvl w:val="0"/>
          <w:numId w:val="1"/>
        </w:numPr>
      </w:pPr>
      <w:r>
        <w:rPr>
          <w:b w:val="1"/>
          <w:bCs w:val="1"/>
        </w:rPr>
        <w:t xml:space="preserve">Cost models and reports are stored locally </w:t>
      </w:r>
      <w:r>
        <w:t>in the provider’s database.</w:t>
      </w:r>
    </w:p>
    <w:p w14:paraId="00000090">
      <w:pPr>
        <w:numPr>
          <w:ilvl w:val="0"/>
          <w:numId w:val="1"/>
        </w:numPr>
      </w:pPr>
      <w:r>
        <w:rPr>
          <w:b w:val="1"/>
          <w:bCs w:val="1"/>
        </w:rPr>
        <w:t xml:space="preserve">DCM orchestrates the lifecycle, </w:t>
      </w:r>
      <w:r>
        <w:t>ensuring every provisioned resource is automatically enrolled for metering and costing.</w:t>
      </w:r>
    </w:p>
    <w:p w14:paraId="00000091">
      <w:pPr>
        <w:numPr>
          <w:ilvl w:val="0"/>
          <w:numId w:val="1"/>
        </w:numPr>
      </w:pPr>
      <w:r>
        <w:rPr>
          <w:b w:val="1"/>
          <w:bCs w:val="1"/>
        </w:rPr>
        <w:t xml:space="preserve">Cost reports can feed local billing/ERP systems, </w:t>
      </w:r>
      <w:r>
        <w:t>completing the path from metering to monetization.</w:t>
      </w:r>
    </w:p>
    <w:p w14:paraId="00000092">
      <w:pPr>
        <w:pStyle w:val="Heading1"/>
      </w:pPr>
      <w:r>
        <w:t>8. Getting Started</w:t>
      </w:r>
    </w:p>
    <w:p w14:paraId="00000093">
      <w:r>
        <w:t>The path from sovereign infrastructure to sovereign monetization is incremental. Organizations do not need to implement all three tiers simultaneously.</w:t>
      </w:r>
    </w:p>
    <w:p w14:paraId="00000094">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95">
      <w:r>
        <w:rPr>
          <w:b w:val="1"/>
          <w:bCs w:val="1"/>
        </w:rPr>
        <w:t xml:space="preserve">Add distribution. </w:t>
      </w:r>
      <w:r>
        <w:t>Attach cost models to clusters to activate Tier 2 overhead distribution. This reveals the true cost structure of the platform.</w:t>
      </w:r>
    </w:p>
    <w:p w14:paraId="00000096">
      <w:r>
        <w:rPr>
          <w:b w:val="1"/>
          <w:bCs w:val="1"/>
        </w:rPr>
        <w:t xml:space="preserve">Enable full costing. </w:t>
      </w:r>
      <w:r>
        <w:t>Add price lists to cost models to activate Tier 3. Define rate cards that match commercial agreements, apply markup, and generate cost reports suitable for billing.</w:t>
      </w:r>
    </w:p>
    <w:p w14:paraId="00000097">
      <w:r>
        <w:rPr>
          <w:b w:val="1"/>
          <w:bCs w:val="1"/>
        </w:rPr>
        <w:t xml:space="preserve">Automate with DCM. </w:t>
      </w:r>
      <w:r>
        <w:t>Integrate the cost management system with DCM to automate enrollment, cost model assignment, and lifecycle management.</w:t>
      </w:r>
    </w:p>
    <w:p w14:paraId="00000098">
      <w:r>
        <w:t>Each tier delivers standalone value. The progression is additive, not disruptive.</w:t>
      </w:r>
    </w:p>
    <w:p w14:paraId="00000099">
      <w:pPr>
        <w:pStyle w:val="Heading1"/>
      </w:pPr>
      <w:r>
        <w:t>9. Conclusion</w:t>
      </w:r>
    </w:p>
    <w:p w14:paraId="0000009a">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9b">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9c">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9d">
      <w:r>
        <w:br w:type="page"/>
      </w:r>
    </w:p>
    <w:p w14:paraId="0000009e">
      <w:pPr>
        <w:pStyle w:val="Heading1"/>
      </w:pPr>
      <w:r>
        <w:t>References</w:t>
      </w:r>
    </w:p>
    <w:p w14:paraId="0000009f">
      <w:r>
        <w:rPr>
          <w:color w:val="666666"/>
          <w:sz w:val="18"/>
          <w:szCs w:val="18"/>
        </w:rPr>
        <w:t>1. Forrester, The Sovereign Cloud Platform Landscape, Q4 2025, October 2025.</w:t>
      </w:r>
    </w:p>
    <w:p w14:paraId="000000a0">
      <w:r>
        <w:rPr>
          <w:color w:val="666666"/>
          <w:sz w:val="18"/>
          <w:szCs w:val="18"/>
        </w:rPr>
        <w:t>2. UN Trade and Development, Privacy and Data Protection Legislation Worldwide, February 2025.</w:t>
      </w:r>
    </w:p>
    <w:p w14:paraId="000000a1">
      <w:r>
        <w:rPr>
          <w:color w:val="666666"/>
          <w:sz w:val="18"/>
          <w:szCs w:val="18"/>
        </w:rPr>
        <w:t>3. IDC InfoBrief, Digital Sovereignty in Action: Building Resilient, Compliant, and Transparent Cloud Ecosystems, Document #EUR153367225, August 2025.</w:t>
      </w:r>
    </w:p>
    <w:p w14:paraId="000000a2">
      <w:r>
        <w:rPr>
          <w:color w:val="666666"/>
          <w:sz w:val="18"/>
          <w:szCs w:val="18"/>
        </w:rPr>
        <w:t>4. IDC Market Perspective, Beyond Cost and Compliance: How Red Hat Is Shaping AI, Sovereignty, and Modernization, Document #EUR153890425, November 2025.</w:t>
      </w:r>
    </w:p>
    <w:p w14:paraId="000000a3">
      <w:r>
        <w:rPr>
          <w:color w:val="666666"/>
          <w:sz w:val="18"/>
          <w:szCs w:val="18"/>
        </w:rPr>
        <w:t>5. Gartner, Predicts 70% of Enterprises Adopting GenAI Will Cite Sustainability and Digital Sovereignty as Top Criteria, February 2024.</w:t>
      </w:r>
    </w:p>
    <w:p w14:paraId="000000a4">
      <w:r>
        <w:rPr>
          <w:color w:val="666666"/>
          <w:sz w:val="18"/>
          <w:szCs w:val="18"/>
        </w:rPr>
        <w:t>6. Linux Foundation, The State of Sovereign AI, August 2025.</w:t>
      </w:r>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