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p>
    <w:p>
      <w:pPr>
        <w:spacing w:after="200" w:before="0"/>
        <w:jc w:val="center"/>
      </w:pPr>
      <w:r>
        <w:rPr>
          <w:rFonts w:ascii="Arial" w:cs="Arial" w:eastAsia="Arial" w:hAnsi="Arial"/>
          <w:b/>
          <w:bCs/>
          <w:color w:val="1F3864"/>
          <w:sz w:val="56"/>
          <w:szCs w:val="56"/>
        </w:rPr>
        <w:t xml:space="preserve">Prediction Markets Arbitrage Bot:</w:t>
      </w:r>
    </w:p>
    <w:p>
      <w:pPr>
        <w:spacing w:after="400" w:before="0"/>
        <w:jc w:val="center"/>
      </w:pPr>
      <w:r>
        <w:rPr>
          <w:rFonts w:ascii="Arial" w:cs="Arial" w:eastAsia="Arial" w:hAnsi="Arial"/>
          <w:b/>
          <w:bCs/>
          <w:color w:val="2E5FA3"/>
          <w:sz w:val="48"/>
          <w:szCs w:val="48"/>
        </w:rPr>
        <w:t xml:space="preserve">Kalshi &amp; Polymarket</w:t>
      </w:r>
    </w:p>
    <w:p>
      <w:pPr>
        <w:spacing w:after="200" w:before="0"/>
        <w:jc w:val="center"/>
      </w:pPr>
      <w:r>
        <w:rPr>
          <w:rFonts w:ascii="Arial" w:cs="Arial" w:eastAsia="Arial" w:hAnsi="Arial"/>
          <w:i/>
          <w:iCs/>
          <w:color w:val="444444"/>
          <w:sz w:val="26"/>
          <w:szCs w:val="26"/>
        </w:rPr>
        <w:t xml:space="preserve">Applied Machine Learning — Final Project</w:t>
      </w:r>
    </w:p>
    <w:p>
      <w:pPr>
        <w:spacing w:after="800" w:before="0"/>
        <w:jc w:val="center"/>
      </w:pPr>
      <w:r>
        <w:rPr>
          <w:rFonts w:ascii="Arial" w:cs="Arial" w:eastAsia="Arial" w:hAnsi="Arial"/>
          <w:color w:val="666666"/>
          <w:sz w:val="24"/>
          <w:szCs w:val="24"/>
        </w:rPr>
        <w:t xml:space="preserve">May 2026</w:t>
      </w:r>
    </w:p>
    <w:p>
      <w:pPr>
        <w:spacing w:after="200" w:before="0"/>
        <w:jc w:val="center"/>
      </w:pPr>
      <w:r>
        <w:rPr>
          <w:rFonts w:ascii="Arial" w:cs="Arial" w:eastAsia="Arial" w:hAnsi="Arial"/>
          <w:i/>
          <w:iCs/>
          <w:color w:val="444444"/>
          <w:sz w:val="22"/>
          <w:szCs w:val="22"/>
        </w:rPr>
        <w:t xml:space="preserve">Live application: </w:t>
      </w:r>
    </w:p>
    <w:p>
      <w:pPr>
        <w:spacing w:after="0" w:before="0"/>
        <w:jc w:val="center"/>
      </w:pPr>
      <w:hyperlink w:history="1" r:id="rId7ursl3ck_q5dxla84stwj">
        <w:r>
          <w:rPr>
            <w:rStyle w:val="Hyperlink"/>
            <w:rFonts w:ascii="Arial" w:cs="Arial" w:eastAsia="Arial" w:hAnsi="Arial"/>
            <w:sz w:val="22"/>
            <w:szCs w:val="22"/>
          </w:rPr>
          <w:t xml:space="preserve">https://arbitrage-bot-lwnpfz7g5fv23zungbeypy.streamlit.app</w:t>
        </w:r>
      </w:hyperlink>
    </w:p>
    <w:p>
      <w:pPr>
        <w:pageBreakBefore/>
      </w:pPr>
    </w:p>
    <w:p>
      <w:pPr>
        <w:pStyle w:val="Heading1"/>
        <w:spacing w:after="160" w:before="320"/>
      </w:pPr>
      <w:r>
        <w:rPr>
          <w:rFonts w:ascii="Arial" w:cs="Arial" w:eastAsia="Arial" w:hAnsi="Arial"/>
          <w:b/>
          <w:bCs/>
          <w:color w:val="1F3864"/>
          <w:sz w:val="32"/>
          <w:szCs w:val="32"/>
        </w:rPr>
        <w:t xml:space="preserve">1. Project Overview</w:t>
      </w:r>
    </w:p>
    <w:p>
      <w:pPr>
        <w:spacing w:after="120" w:before="80" w:line="276"/>
      </w:pPr>
      <w:r>
        <w:rPr>
          <w:rFonts w:ascii="Arial" w:cs="Arial" w:eastAsia="Arial" w:hAnsi="Arial"/>
          <w:sz w:val="22"/>
          <w:szCs w:val="22"/>
        </w:rPr>
        <w:t xml:space="preserve">This project implements a live, end-to-end arbitrage detection system for two real-money prediction markets: Kalshi (a CFTC-regulated U.S. exchange) and Polymarket (a decentralized crypto-based platform). The system continuously fetches active markets from both platforms, uses an AI layer to semantically match markets that describe the same real-world event, scores each matched pair with a trained ML model, and presents ranked, actionable trade recommendations through a deployed Streamlit web application.</w:t>
      </w:r>
    </w:p>
    <w:p>
      <w:pPr>
        <w:spacing w:after="120" w:before="80" w:line="276"/>
      </w:pPr>
      <w:r>
        <w:rPr>
          <w:rFonts w:ascii="Arial" w:cs="Arial" w:eastAsia="Arial" w:hAnsi="Arial"/>
          <w:sz w:val="22"/>
          <w:szCs w:val="22"/>
        </w:rPr>
        <w:t xml:space="preserve">Prediction market arbitrage is possible because the two platforms operate independently, with different user bases, liquidity pools, and pricing mechanisms. When the same event is priced differently on each platform, a trader can simultaneously buy YES on the cheaper platform and NO on the more expensive platform. The combined cost of both contracts is less than $1.00 — the guaranteed payout regardless of which outcome occurs — locking in a risk-free profit before fees.</w:t>
      </w:r>
    </w:p>
    <w:p>
      <w:pPr>
        <w:spacing w:after="120" w:before="80" w:line="276"/>
      </w:pPr>
      <w:r>
        <w:rPr>
          <w:rFonts w:ascii="Arial" w:cs="Arial" w:eastAsia="Arial" w:hAnsi="Arial"/>
          <w:sz w:val="22"/>
          <w:szCs w:val="22"/>
        </w:rPr>
        <w:t xml:space="preserve">The project is structured around three course-required components: (A) a trained ML model, (B) an AI reasoning layer, and (C) a decision output pipeline, integrated into a production-quality Streamlit interface.</w:t>
      </w:r>
    </w:p>
    <w:p>
      <w:pPr>
        <w:pBdr>
          <w:bottom w:val="single" w:color="CCCCCC" w:sz="4"/>
        </w:pBdr>
        <w:spacing w:after="160" w:before="160"/>
      </w:pPr>
    </w:p>
    <w:p>
      <w:pPr>
        <w:pStyle w:val="Heading1"/>
        <w:spacing w:after="160" w:before="320"/>
      </w:pPr>
      <w:r>
        <w:rPr>
          <w:rFonts w:ascii="Arial" w:cs="Arial" w:eastAsia="Arial" w:hAnsi="Arial"/>
          <w:b/>
          <w:bCs/>
          <w:color w:val="1F3864"/>
          <w:sz w:val="32"/>
          <w:szCs w:val="32"/>
        </w:rPr>
        <w:t xml:space="preserve">2. Component A — ML Model (Arbitrage Opportunity Scorer)</w:t>
      </w:r>
    </w:p>
    <w:p>
      <w:pPr>
        <w:pStyle w:val="Heading3"/>
        <w:spacing w:after="80" w:before="200"/>
      </w:pPr>
      <w:r>
        <w:rPr>
          <w:rFonts w:ascii="Arial" w:cs="Arial" w:eastAsia="Arial" w:hAnsi="Arial"/>
          <w:b/>
          <w:bCs/>
          <w:color w:val="1a1a1a"/>
          <w:sz w:val="24"/>
          <w:szCs w:val="24"/>
        </w:rPr>
        <w:t xml:space="preserve">2.1 Task Design</w:t>
      </w:r>
    </w:p>
    <w:p>
      <w:pPr>
        <w:spacing w:after="120" w:before="80" w:line="276"/>
      </w:pPr>
      <w:r>
        <w:rPr>
          <w:rFonts w:ascii="Arial" w:cs="Arial" w:eastAsia="Arial" w:hAnsi="Arial"/>
          <w:sz w:val="22"/>
          <w:szCs w:val="22"/>
        </w:rPr>
        <w:t xml:space="preserve">The ML task is to predict whether a prediction market's YES outcome will resolve positively, given features observable approximately 30 days before resolution. This is a binary calibration problem: the model outputs P_model(YES), an independent probability estimate. The arbitrage signal is derived from disagreement between P_model and the live prices on each platform — if the model strongly disagrees with one platform's price, that platform is likely mispriced relative to the fundamental probability of the event.</w:t>
      </w:r>
    </w:p>
    <w:p>
      <w:pPr>
        <w:spacing w:after="120" w:before="80" w:line="276"/>
      </w:pPr>
      <w:r>
        <w:rPr>
          <w:rFonts w:ascii="Arial" w:cs="Arial" w:eastAsia="Arial" w:hAnsi="Arial"/>
          <w:sz w:val="22"/>
          <w:szCs w:val="22"/>
        </w:rPr>
        <w:t xml:space="preserve">This task formulation was chosen deliberately to avoid data leakage. An earlier iteration used the combined cost of a trade pair as a feature to predict profitability, which created a direct encoding of the target variable and produced a spuriously perfect ROC-AUC of 1.0. The redesigned task uses only pre-resolution market features with no information about the trade structure, producing realistic uncertainty in model outputs.</w:t>
      </w:r>
    </w:p>
    <w:p>
      <w:pPr>
        <w:pStyle w:val="Heading3"/>
        <w:spacing w:after="80" w:before="200"/>
      </w:pPr>
      <w:r>
        <w:rPr>
          <w:rFonts w:ascii="Arial" w:cs="Arial" w:eastAsia="Arial" w:hAnsi="Arial"/>
          <w:b/>
          <w:bCs/>
          <w:color w:val="1a1a1a"/>
          <w:sz w:val="24"/>
          <w:szCs w:val="24"/>
        </w:rPr>
        <w:t xml:space="preserve">2.2 Training Data</w:t>
      </w:r>
    </w:p>
    <w:p>
      <w:pPr>
        <w:spacing w:after="120" w:before="80" w:line="276"/>
      </w:pPr>
      <w:r>
        <w:rPr>
          <w:rFonts w:ascii="Arial" w:cs="Arial" w:eastAsia="Arial" w:hAnsi="Arial"/>
          <w:sz w:val="22"/>
          <w:szCs w:val="22"/>
        </w:rPr>
        <w:t xml:space="preserve">Training data was assembled from two sources. First, 83 real resolved markets were fetched from the Polymarket Gamma API (public, no authentication required). For each resolved market, features were computed from the final price and resolution outcome, with the pre-resolution price simulated by applying realistic drift: a seeded random walk pulling the price toward the final outcome with additional Gaussian noise (σ = 0.06), matching the empirical 4–8% price drift observed over 30-day windows in real prediction markets.</w:t>
      </w:r>
    </w:p>
    <w:p>
      <w:pPr>
        <w:spacing w:after="120" w:before="80" w:line="276"/>
      </w:pPr>
      <w:r>
        <w:rPr>
          <w:rFonts w:ascii="Arial" w:cs="Arial" w:eastAsia="Arial" w:hAnsi="Arial"/>
          <w:sz w:val="22"/>
          <w:szCs w:val="22"/>
        </w:rPr>
        <w:t xml:space="preserve">Second, 2,417 synthetic markets were generated using a statistical model calibrated to observed Polymarket properties: YES prices drawn from Beta(1.5, 1.5), true resolution probabilities perturbed by category-specific Gaussian noise (σ = 0.04 for finance, σ = 0.09 for crypto), and trading volume drawn from a lognormal distribution positively correlated with market controversy. The final training set contains 2,500 rows with a near-balanced 50/50 YES/NO split.</w:t>
      </w:r>
    </w:p>
    <w:p>
      <w:pPr>
        <w:pStyle w:val="Heading3"/>
        <w:spacing w:after="80" w:before="200"/>
      </w:pPr>
      <w:r>
        <w:rPr>
          <w:rFonts w:ascii="Arial" w:cs="Arial" w:eastAsia="Arial" w:hAnsi="Arial"/>
          <w:b/>
          <w:bCs/>
          <w:color w:val="1a1a1a"/>
          <w:sz w:val="24"/>
          <w:szCs w:val="24"/>
        </w:rPr>
        <w:t xml:space="preserve">2.3 Feature Engineering</w:t>
      </w:r>
    </w:p>
    <w:p>
      <w:pPr>
        <w:spacing w:after="120" w:before="80" w:line="276"/>
      </w:pPr>
      <w:r>
        <w:rPr>
          <w:rFonts w:ascii="Arial" w:cs="Arial" w:eastAsia="Arial" w:hAnsi="Arial"/>
          <w:sz w:val="22"/>
          <w:szCs w:val="22"/>
        </w:rPr>
        <w:t xml:space="preserve">Seven features were engineered from raw market data:</w:t>
      </w:r>
    </w:p>
    <w:p>
      <w:pPr>
        <w:spacing w:after="60" w:before="60" w:line="276"/>
        <w:ind w:left="720"/>
      </w:pPr>
      <w:r>
        <w:rPr>
          <w:rFonts w:ascii="Arial" w:cs="Arial" w:eastAsia="Arial" w:hAnsi="Arial"/>
          <w:b/>
          <w:bCs/>
          <w:sz w:val="22"/>
          <w:szCs w:val="22"/>
        </w:rPr>
        <w:t xml:space="preserve">yes_price: </w:t>
      </w:r>
      <w:r>
        <w:rPr>
          <w:rFonts w:ascii="Arial" w:cs="Arial" w:eastAsia="Arial" w:hAnsi="Arial"/>
          <w:sz w:val="22"/>
          <w:szCs w:val="22"/>
        </w:rPr>
        <w:t xml:space="preserve">The consensus implied probability at observation time. This is the single strongest predictor because market prices are already the best available estimate of outcome probability.</w:t>
      </w:r>
    </w:p>
    <w:p>
      <w:pPr>
        <w:spacing w:after="60" w:before="60" w:line="276"/>
        <w:ind w:left="720"/>
      </w:pPr>
      <w:r>
        <w:rPr>
          <w:rFonts w:ascii="Arial" w:cs="Arial" w:eastAsia="Arial" w:hAnsi="Arial"/>
          <w:b/>
          <w:bCs/>
          <w:sz w:val="22"/>
          <w:szCs w:val="22"/>
        </w:rPr>
        <w:t xml:space="preserve">log_volume: </w:t>
      </w:r>
      <w:r>
        <w:rPr>
          <w:rFonts w:ascii="Arial" w:cs="Arial" w:eastAsia="Arial" w:hAnsi="Arial"/>
          <w:sz w:val="22"/>
          <w:szCs w:val="22"/>
        </w:rPr>
        <w:t xml:space="preserve">Natural log of 24-hour trading volume (USD). Higher volume indicates better price discovery and stronger calibration.</w:t>
      </w:r>
    </w:p>
    <w:p>
      <w:pPr>
        <w:spacing w:after="60" w:before="60" w:line="276"/>
        <w:ind w:left="720"/>
      </w:pPr>
      <w:r>
        <w:rPr>
          <w:rFonts w:ascii="Arial" w:cs="Arial" w:eastAsia="Arial" w:hAnsi="Arial"/>
          <w:b/>
          <w:bCs/>
          <w:sz w:val="22"/>
          <w:szCs w:val="22"/>
        </w:rPr>
        <w:t xml:space="preserve">days_to_resolution: </w:t>
      </w:r>
      <w:r>
        <w:rPr>
          <w:rFonts w:ascii="Arial" w:cs="Arial" w:eastAsia="Arial" w:hAnsi="Arial"/>
          <w:sz w:val="22"/>
          <w:szCs w:val="22"/>
        </w:rPr>
        <w:t xml:space="preserve">Calendar days until the market closes. Longer windows give more time for prices to converge, increasing the risk of price drift before resolution.</w:t>
      </w:r>
    </w:p>
    <w:p>
      <w:pPr>
        <w:spacing w:after="60" w:before="60" w:line="276"/>
        <w:ind w:left="720"/>
      </w:pPr>
      <w:r>
        <w:rPr>
          <w:rFonts w:ascii="Arial" w:cs="Arial" w:eastAsia="Arial" w:hAnsi="Arial"/>
          <w:b/>
          <w:bCs/>
          <w:sz w:val="22"/>
          <w:szCs w:val="22"/>
        </w:rPr>
        <w:t xml:space="preserve">category_enc: </w:t>
      </w:r>
      <w:r>
        <w:rPr>
          <w:rFonts w:ascii="Arial" w:cs="Arial" w:eastAsia="Arial" w:hAnsi="Arial"/>
          <w:sz w:val="22"/>
          <w:szCs w:val="22"/>
        </w:rPr>
        <w:t xml:space="preserve">Ordinal encoding of the event category (politics=0, finance=1, crypto=2, sports=3, technology=4, science=5, entertainment=6, other=7). Different categories exhibit systematically different calibration errors.</w:t>
      </w:r>
    </w:p>
    <w:p>
      <w:pPr>
        <w:spacing w:after="60" w:before="60" w:line="276"/>
        <w:ind w:left="720"/>
      </w:pPr>
      <w:r>
        <w:rPr>
          <w:rFonts w:ascii="Arial" w:cs="Arial" w:eastAsia="Arial" w:hAnsi="Arial"/>
          <w:b/>
          <w:bCs/>
          <w:sz w:val="22"/>
          <w:szCs w:val="22"/>
        </w:rPr>
        <w:t xml:space="preserve">price_confidence: </w:t>
      </w:r>
      <w:r>
        <w:rPr>
          <w:rFonts w:ascii="Arial" w:cs="Arial" w:eastAsia="Arial" w:hAnsi="Arial"/>
          <w:sz w:val="22"/>
          <w:szCs w:val="22"/>
        </w:rPr>
        <w:t xml:space="preserve">Interaction term: log_volume × (1 − 2|yes_price − 0.5|). Measures volume-weighted certainty — high for liquid markets with extreme prices, low for thin markets near 50/50.</w:t>
      </w:r>
    </w:p>
    <w:p>
      <w:pPr>
        <w:spacing w:after="60" w:before="60" w:line="276"/>
        <w:ind w:left="720"/>
      </w:pPr>
      <w:r>
        <w:rPr>
          <w:rFonts w:ascii="Arial" w:cs="Arial" w:eastAsia="Arial" w:hAnsi="Arial"/>
          <w:b/>
          <w:bCs/>
          <w:sz w:val="22"/>
          <w:szCs w:val="22"/>
        </w:rPr>
        <w:t xml:space="preserve">extreme_price: </w:t>
      </w:r>
      <w:r>
        <w:rPr>
          <w:rFonts w:ascii="Arial" w:cs="Arial" w:eastAsia="Arial" w:hAnsi="Arial"/>
          <w:sz w:val="22"/>
          <w:szCs w:val="22"/>
        </w:rPr>
        <w:t xml:space="preserve">Binary indicator (1 if yes_price &lt; 0.10 or &gt; 0.90). Near-certain markets behave differently from contested ones and tend to be well-calibrated.</w:t>
      </w:r>
    </w:p>
    <w:p>
      <w:pPr>
        <w:spacing w:after="60" w:before="60" w:line="276"/>
        <w:ind w:left="720"/>
      </w:pPr>
      <w:r>
        <w:rPr>
          <w:rFonts w:ascii="Arial" w:cs="Arial" w:eastAsia="Arial" w:hAnsi="Arial"/>
          <w:b/>
          <w:bCs/>
          <w:sz w:val="22"/>
          <w:szCs w:val="22"/>
        </w:rPr>
        <w:t xml:space="preserve">log_vol_x_price: </w:t>
      </w:r>
      <w:r>
        <w:rPr>
          <w:rFonts w:ascii="Arial" w:cs="Arial" w:eastAsia="Arial" w:hAnsi="Arial"/>
          <w:sz w:val="22"/>
          <w:szCs w:val="22"/>
        </w:rPr>
        <w:t xml:space="preserve">Product of log_volume and yes_price, capturing the interaction between liquidity and directional conviction.</w:t>
      </w:r>
    </w:p>
    <w:p>
      <w:pPr>
        <w:spacing w:after="80" w:before="80"/>
      </w:pPr>
    </w:p>
    <w:p>
      <w:pPr>
        <w:pStyle w:val="Heading3"/>
        <w:spacing w:after="80" w:before="200"/>
      </w:pPr>
      <w:r>
        <w:rPr>
          <w:rFonts w:ascii="Arial" w:cs="Arial" w:eastAsia="Arial" w:hAnsi="Arial"/>
          <w:b/>
          <w:bCs/>
          <w:color w:val="1a1a1a"/>
          <w:sz w:val="24"/>
          <w:szCs w:val="24"/>
        </w:rPr>
        <w:t xml:space="preserve">2.4 Model Architecture and Training</w:t>
      </w:r>
    </w:p>
    <w:p>
      <w:pPr>
        <w:spacing w:after="120" w:before="80" w:line="276"/>
      </w:pPr>
      <w:r>
        <w:rPr>
          <w:rFonts w:ascii="Arial" w:cs="Arial" w:eastAsia="Arial" w:hAnsi="Arial"/>
          <w:sz w:val="22"/>
          <w:szCs w:val="22"/>
        </w:rPr>
        <w:t xml:space="preserve">The base model is an XGBoost binary classifier (300 estimators, max depth 4, learning rate 0.05, subsample 0.8, min child weight 5). The base classifier is wrapped in scikit-learn's CalibratedClassifierCV with isotonic regression calibration (3-fold internal CV). This step is critical: gradient-boosted trees are known to produce poorly calibrated probability outputs, and the entire scoring system depends on the predicted probabilities being trustworthy enough to detect platform mispricings.</w:t>
      </w:r>
    </w:p>
    <w:p>
      <w:pPr>
        <w:spacing w:after="120" w:before="80" w:line="276"/>
      </w:pPr>
      <w:r>
        <w:rPr>
          <w:rFonts w:ascii="Arial" w:cs="Arial" w:eastAsia="Arial" w:hAnsi="Arial"/>
          <w:sz w:val="22"/>
          <w:szCs w:val="22"/>
        </w:rPr>
        <w:t xml:space="preserve">Training used an 80/20 stratified train/test split with a fixed random seed (42) for full reproducibility.</w:t>
      </w:r>
    </w:p>
    <w:p>
      <w:pPr>
        <w:pStyle w:val="Heading3"/>
        <w:spacing w:after="80" w:before="200"/>
      </w:pPr>
      <w:r>
        <w:rPr>
          <w:rFonts w:ascii="Arial" w:cs="Arial" w:eastAsia="Arial" w:hAnsi="Arial"/>
          <w:b/>
          <w:bCs/>
          <w:color w:val="1a1a1a"/>
          <w:sz w:val="24"/>
          <w:szCs w:val="24"/>
        </w:rPr>
        <w:t xml:space="preserve">2.5 Results</w:t>
      </w:r>
    </w:p>
    <w:p>
      <w:pPr>
        <w:spacing w:after="40" w:before="40"/>
      </w:pPr>
    </w:p>
    <w:p>
      <w:pPr>
        <w:spacing w:after="60" w:before="60" w:line="276"/>
        <w:ind w:left="720"/>
      </w:pPr>
      <w:r>
        <w:rPr>
          <w:rFonts w:ascii="Arial" w:cs="Arial" w:eastAsia="Arial" w:hAnsi="Arial"/>
          <w:b/>
          <w:bCs/>
          <w:sz w:val="22"/>
          <w:szCs w:val="22"/>
        </w:rPr>
        <w:t xml:space="preserve">Test ROC-AUC: </w:t>
      </w:r>
      <w:r>
        <w:rPr>
          <w:rFonts w:ascii="Arial" w:cs="Arial" w:eastAsia="Arial" w:hAnsi="Arial"/>
          <w:sz w:val="22"/>
          <w:szCs w:val="22"/>
        </w:rPr>
        <w:t xml:space="preserve">0.7647</w:t>
      </w:r>
      <w:r>
        <w:rPr>
          <w:rFonts w:ascii="Arial" w:cs="Arial" w:eastAsia="Arial" w:hAnsi="Arial"/>
          <w:i/>
          <w:iCs/>
          <w:color w:val="555555"/>
          <w:sz w:val="22"/>
          <w:szCs w:val="22"/>
        </w:rPr>
        <w:t xml:space="preserve">  (chance = 0.50)</w:t>
      </w:r>
    </w:p>
    <w:p>
      <w:pPr>
        <w:spacing w:after="60" w:before="60" w:line="276"/>
        <w:ind w:left="720"/>
      </w:pPr>
      <w:r>
        <w:rPr>
          <w:rFonts w:ascii="Arial" w:cs="Arial" w:eastAsia="Arial" w:hAnsi="Arial"/>
          <w:b/>
          <w:bCs/>
          <w:sz w:val="22"/>
          <w:szCs w:val="22"/>
        </w:rPr>
        <w:t xml:space="preserve">Test Average Precision: </w:t>
      </w:r>
      <w:r>
        <w:rPr>
          <w:rFonts w:ascii="Arial" w:cs="Arial" w:eastAsia="Arial" w:hAnsi="Arial"/>
          <w:sz w:val="22"/>
          <w:szCs w:val="22"/>
        </w:rPr>
        <w:t xml:space="preserve">0.7495</w:t>
      </w:r>
    </w:p>
    <w:p>
      <w:pPr>
        <w:spacing w:after="60" w:before="60" w:line="276"/>
        <w:ind w:left="720"/>
      </w:pPr>
      <w:r>
        <w:rPr>
          <w:rFonts w:ascii="Arial" w:cs="Arial" w:eastAsia="Arial" w:hAnsi="Arial"/>
          <w:b/>
          <w:bCs/>
          <w:sz w:val="22"/>
          <w:szCs w:val="22"/>
        </w:rPr>
        <w:t xml:space="preserve">Brier Score: </w:t>
      </w:r>
      <w:r>
        <w:rPr>
          <w:rFonts w:ascii="Arial" w:cs="Arial" w:eastAsia="Arial" w:hAnsi="Arial"/>
          <w:sz w:val="22"/>
          <w:szCs w:val="22"/>
        </w:rPr>
        <w:t xml:space="preserve">0.1978</w:t>
      </w:r>
      <w:r>
        <w:rPr>
          <w:rFonts w:ascii="Arial" w:cs="Arial" w:eastAsia="Arial" w:hAnsi="Arial"/>
          <w:i/>
          <w:iCs/>
          <w:color w:val="555555"/>
          <w:sz w:val="22"/>
          <w:szCs w:val="22"/>
        </w:rPr>
        <w:t xml:space="preserve">  (naive baseline: 0.25)</w:t>
      </w:r>
    </w:p>
    <w:p>
      <w:pPr>
        <w:spacing w:after="60" w:before="60" w:line="276"/>
        <w:ind w:left="720"/>
      </w:pPr>
      <w:r>
        <w:rPr>
          <w:rFonts w:ascii="Arial" w:cs="Arial" w:eastAsia="Arial" w:hAnsi="Arial"/>
          <w:b/>
          <w:bCs/>
          <w:sz w:val="22"/>
          <w:szCs w:val="22"/>
        </w:rPr>
        <w:t xml:space="preserve">5-Fold CV ROC-AUC: </w:t>
      </w:r>
      <w:r>
        <w:rPr>
          <w:rFonts w:ascii="Arial" w:cs="Arial" w:eastAsia="Arial" w:hAnsi="Arial"/>
          <w:sz w:val="22"/>
          <w:szCs w:val="22"/>
        </w:rPr>
        <w:t xml:space="preserve">0.7619 ± 0.0224</w:t>
      </w:r>
    </w:p>
    <w:p>
      <w:pPr>
        <w:spacing w:after="80" w:before="40"/>
      </w:pPr>
    </w:p>
    <w:p>
      <w:pPr>
        <w:spacing w:after="120" w:before="80" w:line="276"/>
      </w:pPr>
      <w:r>
        <w:rPr>
          <w:rFonts w:ascii="Arial" w:cs="Arial" w:eastAsia="Arial" w:hAnsi="Arial"/>
          <w:sz w:val="22"/>
          <w:szCs w:val="22"/>
        </w:rPr>
        <w:t xml:space="preserve">The ROC-AUC of 0.765 is consistent with published results in prediction market calibration literature, which typically report 0.72–0.82 for models using price-only features. The Brier score of 0.198 is substantially below the 0.25 naive baseline, confirming that the calibrated probabilities add information beyond random guessing. The tight CV spread (±0.022) indicates stable generalization across folds with no overfit.</w:t>
      </w:r>
    </w:p>
    <w:p>
      <w:pPr>
        <w:spacing w:after="120" w:before="80" w:line="276"/>
      </w:pPr>
      <w:r>
        <w:rPr>
          <w:rFonts w:ascii="Arial" w:cs="Arial" w:eastAsia="Arial" w:hAnsi="Arial"/>
          <w:sz w:val="22"/>
          <w:szCs w:val="22"/>
        </w:rPr>
        <w:t xml:space="preserve">Feature importances (from the inner XGBoost estimator): yes_price (0.369), log_vol_x_price (0.158), price_confidence (0.152), log_volume (0.114), days_to_resolution (0.104), category_enc (0.104), extreme_price (0.009). The dominance of yes_price confirms the theoretical expectation that the market consensus is the strongest prior. The high importance of the volume-price interaction features validates the hypothesis that liquidity context significantly improves calibration beyond price alone.</w:t>
      </w:r>
    </w:p>
    <w:p>
      <w:pPr>
        <w:pStyle w:val="Heading3"/>
        <w:spacing w:after="80" w:before="200"/>
      </w:pPr>
      <w:r>
        <w:rPr>
          <w:rFonts w:ascii="Arial" w:cs="Arial" w:eastAsia="Arial" w:hAnsi="Arial"/>
          <w:b/>
          <w:bCs/>
          <w:color w:val="1a1a1a"/>
          <w:sz w:val="24"/>
          <w:szCs w:val="24"/>
        </w:rPr>
        <w:t xml:space="preserve">2.6 Live Scoring</w:t>
      </w:r>
    </w:p>
    <w:p>
      <w:pPr>
        <w:spacing w:after="120" w:before="80" w:line="276"/>
      </w:pPr>
      <w:r>
        <w:rPr>
          <w:rFonts w:ascii="Arial" w:cs="Arial" w:eastAsia="Arial" w:hAnsi="Arial"/>
          <w:sz w:val="22"/>
          <w:szCs w:val="22"/>
        </w:rPr>
        <w:t xml:space="preserve">At inference time, the model receives features for each live Kalshi market and outputs P_model(YES). The ML confidence score for an arbitrage opportunity is then computed as:</w:t>
      </w:r>
    </w:p>
    <w:p>
      <w:pPr>
        <w:spacing w:after="100" w:before="100"/>
        <w:ind w:left="720"/>
      </w:pPr>
      <w:r>
        <w:rPr>
          <w:rFonts w:ascii="Courier New" w:cs="Courier New" w:eastAsia="Courier New" w:hAnsi="Courier New"/>
          <w:color w:val="1F3864"/>
          <w:sz w:val="20"/>
          <w:szCs w:val="20"/>
        </w:rPr>
        <w:t xml:space="preserve">confidence = clip( (|P_model − Kalshi_price| + |P_model − Poly_price| − 0.02) × 3.5,  0.05,  0.95 )</w:t>
      </w:r>
    </w:p>
    <w:p>
      <w:pPr>
        <w:spacing w:after="120" w:before="80" w:line="276"/>
      </w:pPr>
      <w:r>
        <w:rPr>
          <w:rFonts w:ascii="Arial" w:cs="Arial" w:eastAsia="Arial" w:hAnsi="Arial"/>
          <w:sz w:val="22"/>
          <w:szCs w:val="22"/>
        </w:rPr>
        <w:t xml:space="preserve">This measures total disagreement between the model's calibrated estimate and both platforms' prices. Large disagreement suggests at least one platform is significantly mispriced, increasing the probability that the arbitrage spread is genuine rather than a data artifact.</w:t>
      </w:r>
    </w:p>
    <w:p>
      <w:pPr>
        <w:pBdr>
          <w:bottom w:val="single" w:color="CCCCCC" w:sz="4"/>
        </w:pBdr>
        <w:spacing w:after="160" w:before="160"/>
      </w:pPr>
    </w:p>
    <w:p>
      <w:pPr>
        <w:pStyle w:val="Heading1"/>
        <w:spacing w:after="160" w:before="320"/>
      </w:pPr>
      <w:r>
        <w:rPr>
          <w:rFonts w:ascii="Arial" w:cs="Arial" w:eastAsia="Arial" w:hAnsi="Arial"/>
          <w:b/>
          <w:bCs/>
          <w:color w:val="1F3864"/>
          <w:sz w:val="32"/>
          <w:szCs w:val="32"/>
        </w:rPr>
        <w:t xml:space="preserve">3. Component B — AI Layer (Claude-Powered Matching &amp; Analysis)</w:t>
      </w:r>
    </w:p>
    <w:p>
      <w:pPr>
        <w:pStyle w:val="Heading3"/>
        <w:spacing w:after="80" w:before="200"/>
      </w:pPr>
      <w:r>
        <w:rPr>
          <w:rFonts w:ascii="Arial" w:cs="Arial" w:eastAsia="Arial" w:hAnsi="Arial"/>
          <w:b/>
          <w:bCs/>
          <w:color w:val="1a1a1a"/>
          <w:sz w:val="24"/>
          <w:szCs w:val="24"/>
        </w:rPr>
        <w:t xml:space="preserve">3.1 Semantic Market Matching</w:t>
      </w:r>
    </w:p>
    <w:p>
      <w:pPr>
        <w:spacing w:after="120" w:before="80" w:line="276"/>
      </w:pPr>
      <w:r>
        <w:rPr>
          <w:rFonts w:ascii="Arial" w:cs="Arial" w:eastAsia="Arial" w:hAnsi="Arial"/>
          <w:sz w:val="22"/>
          <w:szCs w:val="22"/>
        </w:rPr>
        <w:t xml:space="preserve">The core challenge in cross-platform arbitrage is identifying which Kalshi market corresponds to which Polymarket market. The two platforms describe the same real-world events with different question wording, date formats, and resolution criteria. A simple string match fails frequently — for example, "Will the Fed pause rate hikes in June?" (Kalshi) and "Federal Reserve holds rates steady at June 2026 FOMC meeting?" (Polymarket) refer to the same event but share few tokens.</w:t>
      </w:r>
    </w:p>
    <w:p>
      <w:pPr>
        <w:spacing w:after="120" w:before="80" w:line="276"/>
      </w:pPr>
      <w:r>
        <w:rPr>
          <w:rFonts w:ascii="Arial" w:cs="Arial" w:eastAsia="Arial" w:hAnsi="Arial"/>
          <w:sz w:val="22"/>
          <w:szCs w:val="22"/>
        </w:rPr>
        <w:t xml:space="preserve">To solve this, the system uses Claude Haiku (claude-haiku-4-5-20251001) as a semantic matching engine. For each Kalshi market, the top 10 Polymarket candidates (pre-filtered by keyword overlap) are passed to Claude with a structured prompt requesting a JSON response containing the best match index, a confidence label (high/medium/low), and one-sentence reasoning. Only high and medium confidence matches proceed to the arbitrage computation stage; low-confidence matches are discarded to avoid spurious trades.</w:t>
      </w:r>
    </w:p>
    <w:p>
      <w:pPr>
        <w:spacing w:after="120" w:before="80" w:line="276"/>
      </w:pPr>
      <w:r>
        <w:rPr>
          <w:rFonts w:ascii="Arial" w:cs="Arial" w:eastAsia="Arial" w:hAnsi="Arial"/>
          <w:sz w:val="22"/>
          <w:szCs w:val="22"/>
        </w:rPr>
        <w:t xml:space="preserve">Claude Haiku was selected for this component because of its low cost per API call, fast response time suitable for batch processing 75+ markets, and strong performance on structured JSON extraction tasks.</w:t>
      </w:r>
    </w:p>
    <w:p>
      <w:pPr>
        <w:pStyle w:val="Heading3"/>
        <w:spacing w:after="80" w:before="200"/>
      </w:pPr>
      <w:r>
        <w:rPr>
          <w:rFonts w:ascii="Arial" w:cs="Arial" w:eastAsia="Arial" w:hAnsi="Arial"/>
          <w:b/>
          <w:bCs/>
          <w:color w:val="1a1a1a"/>
          <w:sz w:val="24"/>
          <w:szCs w:val="24"/>
        </w:rPr>
        <w:t xml:space="preserve">3.2 Trade Recommendation Generation</w:t>
      </w:r>
    </w:p>
    <w:p>
      <w:pPr>
        <w:spacing w:after="120" w:before="80" w:line="276"/>
      </w:pPr>
      <w:r>
        <w:rPr>
          <w:rFonts w:ascii="Arial" w:cs="Arial" w:eastAsia="Arial" w:hAnsi="Arial"/>
          <w:sz w:val="22"/>
          <w:szCs w:val="22"/>
        </w:rPr>
        <w:t xml:space="preserve">For each opportunity the user inspects, an on-demand AI analysis is generated using Claude Sonnet (claude-sonnet-4-6). The prompt includes the full trade structure (platform, side, price), combined cost and expected profit, ML confidence score, days to resolution, and both platforms' question text. Claude Sonnet returns a 3–5 paragraph analytical narrative covering: what to buy on each platform and why, the economic basis for the spread, key risks (counterparty, liquidity, time decay, trading fees), and one sentence of event context.</w:t>
      </w:r>
    </w:p>
    <w:p>
      <w:pPr>
        <w:spacing w:after="120" w:before="80" w:line="276"/>
      </w:pPr>
      <w:r>
        <w:rPr>
          <w:rFonts w:ascii="Arial" w:cs="Arial" w:eastAsia="Arial" w:hAnsi="Arial"/>
          <w:sz w:val="22"/>
          <w:szCs w:val="22"/>
        </w:rPr>
        <w:t xml:space="preserve">The two-model architecture — Haiku for batch matching, Sonnet for deep analysis — is deliberate. Haiku minimizes API cost for the high-volume matching task while Sonnet's stronger reasoning produces genuinely insightful trade writeups for the few opportunities a user actually inspects.</w:t>
      </w:r>
    </w:p>
    <w:p>
      <w:pPr>
        <w:pStyle w:val="Heading3"/>
        <w:spacing w:after="80" w:before="200"/>
      </w:pPr>
      <w:r>
        <w:rPr>
          <w:rFonts w:ascii="Arial" w:cs="Arial" w:eastAsia="Arial" w:hAnsi="Arial"/>
          <w:b/>
          <w:bCs/>
          <w:color w:val="1a1a1a"/>
          <w:sz w:val="24"/>
          <w:szCs w:val="24"/>
        </w:rPr>
        <w:t xml:space="preserve">3.3 Fallback Design</w:t>
      </w:r>
    </w:p>
    <w:p>
      <w:pPr>
        <w:spacing w:after="120" w:before="80" w:line="276"/>
      </w:pPr>
      <w:r>
        <w:rPr>
          <w:rFonts w:ascii="Arial" w:cs="Arial" w:eastAsia="Arial" w:hAnsi="Arial"/>
          <w:sz w:val="22"/>
          <w:szCs w:val="22"/>
        </w:rPr>
        <w:t xml:space="preserve">Both AI components are wrapped in exception handlers with meaningful fallbacks. If the Anthropic API key is unavailable, the matching layer falls back to a keyword overlap heuristic (Jaccard similarity on tokenized question text, threshold 0.25). The recommendation layer falls back to a templated summary built from the structured opportunity data. This ensures the system remains fully functional in demo or offline contexts.</w:t>
      </w:r>
    </w:p>
    <w:p>
      <w:pPr>
        <w:pBdr>
          <w:bottom w:val="single" w:color="CCCCCC" w:sz="4"/>
        </w:pBdr>
        <w:spacing w:after="160" w:before="160"/>
      </w:pPr>
    </w:p>
    <w:p>
      <w:pPr>
        <w:pStyle w:val="Heading1"/>
        <w:spacing w:after="160" w:before="320"/>
      </w:pPr>
      <w:r>
        <w:rPr>
          <w:rFonts w:ascii="Arial" w:cs="Arial" w:eastAsia="Arial" w:hAnsi="Arial"/>
          <w:b/>
          <w:bCs/>
          <w:color w:val="1F3864"/>
          <w:sz w:val="32"/>
          <w:szCs w:val="32"/>
        </w:rPr>
        <w:t xml:space="preserve">4. Component C — Decision Output</w:t>
      </w:r>
    </w:p>
    <w:p>
      <w:pPr>
        <w:pStyle w:val="Heading3"/>
        <w:spacing w:after="80" w:before="200"/>
      </w:pPr>
      <w:r>
        <w:rPr>
          <w:rFonts w:ascii="Arial" w:cs="Arial" w:eastAsia="Arial" w:hAnsi="Arial"/>
          <w:b/>
          <w:bCs/>
          <w:color w:val="1a1a1a"/>
          <w:sz w:val="24"/>
          <w:szCs w:val="24"/>
        </w:rPr>
        <w:t xml:space="preserve">4.1 Arbitrage Detection Logic</w:t>
      </w:r>
    </w:p>
    <w:p>
      <w:pPr>
        <w:spacing w:after="120" w:before="80" w:line="276"/>
      </w:pPr>
      <w:r>
        <w:rPr>
          <w:rFonts w:ascii="Arial" w:cs="Arial" w:eastAsia="Arial" w:hAnsi="Arial"/>
          <w:sz w:val="22"/>
          <w:szCs w:val="22"/>
        </w:rPr>
        <w:t xml:space="preserve">For each matched market pair, the system computes the arbitrage structure as follows. If Kalshi_YES &lt; Polymarket_YES, the optimal trade is to buy YES on Kalshi and NO on Polymarket. The combined cost is Kalshi_YES + (1 − Polymarket_YES). Since both contracts pay $1 on their respective outcomes and exactly one outcome must occur, the payout is always $1.00 regardless of the resolution direction. The gross profit is therefore 1.00 − combined_cost.</w:t>
      </w:r>
    </w:p>
    <w:p>
      <w:pPr>
        <w:spacing w:after="120" w:before="80" w:line="276"/>
      </w:pPr>
      <w:r>
        <w:rPr>
          <w:rFonts w:ascii="Arial" w:cs="Arial" w:eastAsia="Arial" w:hAnsi="Arial"/>
          <w:sz w:val="22"/>
          <w:szCs w:val="22"/>
        </w:rPr>
        <w:t xml:space="preserve">If Polymarket_YES &lt; Kalshi_YES, the direction reverses: buy YES on Polymarket and NO on Kalshi. Fee adjustments are applied to compute net profit: Kalshi charges approximately 7% of winnings on the winning side; Polymarket's round-trip cost is approximately 2%. The system surfaces both gross profit (before fees) and estimated net profit (after fees) for each opportunity.</w:t>
      </w:r>
    </w:p>
    <w:p>
      <w:pPr>
        <w:pStyle w:val="Heading3"/>
        <w:spacing w:after="80" w:before="200"/>
      </w:pPr>
      <w:r>
        <w:rPr>
          <w:rFonts w:ascii="Arial" w:cs="Arial" w:eastAsia="Arial" w:hAnsi="Arial"/>
          <w:b/>
          <w:bCs/>
          <w:color w:val="1a1a1a"/>
          <w:sz w:val="24"/>
          <w:szCs w:val="24"/>
        </w:rPr>
        <w:t xml:space="preserve">4.2 Opportunity Ranking</w:t>
      </w:r>
    </w:p>
    <w:p>
      <w:pPr>
        <w:spacing w:after="120" w:before="80" w:line="276"/>
      </w:pPr>
      <w:r>
        <w:rPr>
          <w:rFonts w:ascii="Arial" w:cs="Arial" w:eastAsia="Arial" w:hAnsi="Arial"/>
          <w:sz w:val="22"/>
          <w:szCs w:val="22"/>
        </w:rPr>
        <w:t xml:space="preserve">Detected opportunities are ranked by a composite score: ML confidence × gross profit percentage. This rewards opportunities that are both economically large (wide spread) and statistically trustworthy (model disagrees with one platform's price). The ranking ensures the highest-quality trades appear at the top of the table.</w:t>
      </w:r>
    </w:p>
    <w:p>
      <w:pPr>
        <w:pStyle w:val="Heading3"/>
        <w:spacing w:after="80" w:before="200"/>
      </w:pPr>
      <w:r>
        <w:rPr>
          <w:rFonts w:ascii="Arial" w:cs="Arial" w:eastAsia="Arial" w:hAnsi="Arial"/>
          <w:b/>
          <w:bCs/>
          <w:color w:val="1a1a1a"/>
          <w:sz w:val="24"/>
          <w:szCs w:val="24"/>
        </w:rPr>
        <w:t xml:space="preserve">4.3 Output Formats</w:t>
      </w:r>
    </w:p>
    <w:p>
      <w:pPr>
        <w:spacing w:after="120" w:before="80" w:line="276"/>
      </w:pPr>
      <w:r>
        <w:rPr>
          <w:rFonts w:ascii="Arial" w:cs="Arial" w:eastAsia="Arial" w:hAnsi="Arial"/>
          <w:sz w:val="22"/>
          <w:szCs w:val="22"/>
        </w:rPr>
        <w:t xml:space="preserve">The system produces decision outputs in three forms:</w:t>
      </w:r>
    </w:p>
    <w:p>
      <w:pPr>
        <w:pStyle w:val="ListParagraph"/>
        <w:numPr>
          <w:ilvl w:val="0"/>
          <w:numId w:val="2"/>
        </w:numPr>
        <w:spacing w:after="60" w:before="80" w:line="276"/>
      </w:pPr>
      <w:r>
        <w:rPr>
          <w:rFonts w:ascii="Arial" w:cs="Arial" w:eastAsia="Arial" w:hAnsi="Arial"/>
          <w:b/>
          <w:bCs/>
          <w:sz w:val="22"/>
          <w:szCs w:val="22"/>
        </w:rPr>
        <w:t xml:space="preserve">Live opportunity table: </w:t>
      </w:r>
      <w:r>
        <w:rPr>
          <w:rFonts w:ascii="Arial" w:cs="Arial" w:eastAsia="Arial" w:hAnsi="Arial"/>
          <w:sz w:val="22"/>
          <w:szCs w:val="22"/>
        </w:rPr>
        <w:t xml:space="preserve">A color-coded table of all detected opportunities showing event name, category, Kalshi and Polymarket prices, spread, gross profit %, ML confidence (color-scaled red → green), days until resolution, and match quality.</w:t>
      </w:r>
    </w:p>
    <w:p>
      <w:pPr>
        <w:pStyle w:val="ListParagraph"/>
        <w:numPr>
          <w:ilvl w:val="0"/>
          <w:numId w:val="2"/>
        </w:numPr>
        <w:spacing w:after="60" w:before="60" w:line="276"/>
      </w:pPr>
      <w:r>
        <w:rPr>
          <w:rFonts w:ascii="Arial" w:cs="Arial" w:eastAsia="Arial" w:hAnsi="Arial"/>
          <w:b/>
          <w:bCs/>
          <w:sz w:val="22"/>
          <w:szCs w:val="22"/>
        </w:rPr>
        <w:t xml:space="preserve">Trade inspection cards: </w:t>
      </w:r>
      <w:r>
        <w:rPr>
          <w:rFonts w:ascii="Arial" w:cs="Arial" w:eastAsia="Arial" w:hAnsi="Arial"/>
          <w:sz w:val="22"/>
          <w:szCs w:val="22"/>
        </w:rPr>
        <w:t xml:space="preserve">For each selected opportunity, a detailed view showing a price comparison bar chart, a gross profit potential gauge, explicit trade instructions (e.g., "Buy NO @ 0.537" on Kalshi, "Buy YES @ 0.385" on Polymarket), combined cost, gross/net profit metrics, and ML confidence with a risk label.</w:t>
      </w:r>
    </w:p>
    <w:p>
      <w:pPr>
        <w:pStyle w:val="ListParagraph"/>
        <w:numPr>
          <w:ilvl w:val="0"/>
          <w:numId w:val="2"/>
        </w:numPr>
        <w:spacing w:after="120" w:before="60" w:line="276"/>
      </w:pPr>
      <w:r>
        <w:rPr>
          <w:rFonts w:ascii="Arial" w:cs="Arial" w:eastAsia="Arial" w:hAnsi="Arial"/>
          <w:b/>
          <w:bCs/>
          <w:sz w:val="22"/>
          <w:szCs w:val="22"/>
        </w:rPr>
        <w:t xml:space="preserve">AI trade analysis: </w:t>
      </w:r>
      <w:r>
        <w:rPr>
          <w:rFonts w:ascii="Arial" w:cs="Arial" w:eastAsia="Arial" w:hAnsi="Arial"/>
          <w:sz w:val="22"/>
          <w:szCs w:val="22"/>
        </w:rPr>
        <w:t xml:space="preserve">The Claude Sonnet narrative for the selected opportunity, generated on demand from the live trade data.</w:t>
      </w:r>
    </w:p>
    <w:p>
      <w:pPr>
        <w:pStyle w:val="Heading3"/>
        <w:spacing w:after="80" w:before="200"/>
      </w:pPr>
      <w:r>
        <w:rPr>
          <w:rFonts w:ascii="Arial" w:cs="Arial" w:eastAsia="Arial" w:hAnsi="Arial"/>
          <w:b/>
          <w:bCs/>
          <w:color w:val="1a1a1a"/>
          <w:sz w:val="24"/>
          <w:szCs w:val="24"/>
        </w:rPr>
        <w:t xml:space="preserve">4.4 Interactive ML Scorer</w:t>
      </w:r>
    </w:p>
    <w:p>
      <w:pPr>
        <w:spacing w:after="120" w:before="80" w:line="276"/>
      </w:pPr>
      <w:r>
        <w:rPr>
          <w:rFonts w:ascii="Arial" w:cs="Arial" w:eastAsia="Arial" w:hAnsi="Arial"/>
          <w:sz w:val="22"/>
          <w:szCs w:val="22"/>
        </w:rPr>
        <w:t xml:space="preserve">A dedicated ML Model tab provides an interactive scoring tool where users can manually adjust Kalshi YES price, Polymarket YES price, trading volume, days to resolution, and event category, observing in real time how the ML model scores the hypothetical opportunity. This tool serves as both an educational interface explaining the model's feature sensitivities and a sanity-check for validating the feature-output relationship.</w:t>
      </w:r>
    </w:p>
    <w:p>
      <w:pPr>
        <w:pBdr>
          <w:bottom w:val="single" w:color="CCCCCC" w:sz="4"/>
        </w:pBdr>
        <w:spacing w:after="160" w:before="160"/>
      </w:pPr>
    </w:p>
    <w:p>
      <w:pPr>
        <w:pStyle w:val="Heading1"/>
        <w:spacing w:after="160" w:before="320"/>
      </w:pPr>
      <w:r>
        <w:rPr>
          <w:rFonts w:ascii="Arial" w:cs="Arial" w:eastAsia="Arial" w:hAnsi="Arial"/>
          <w:b/>
          <w:bCs/>
          <w:color w:val="1F3864"/>
          <w:sz w:val="32"/>
          <w:szCs w:val="32"/>
        </w:rPr>
        <w:t xml:space="preserve">5. System Architecture and UX</w:t>
      </w:r>
    </w:p>
    <w:p>
      <w:pPr>
        <w:spacing w:after="120" w:before="80" w:line="276"/>
      </w:pPr>
      <w:r>
        <w:rPr>
          <w:rFonts w:ascii="Arial" w:cs="Arial" w:eastAsia="Arial" w:hAnsi="Arial"/>
          <w:sz w:val="22"/>
          <w:szCs w:val="22"/>
        </w:rPr>
        <w:t xml:space="preserve">The application is a Streamlit app with modular source files organized under src/. The data pipeline uses per-platform caching (@st.cache_data with TTL) and individual exception handling so that a failure on one platform does not block the other. The UI is organized into four tabs: Opportunities (main dashboard), ML Model (training report and interactive scorer), About (architecture overview), and an embedded trade inspection flow.</w:t>
      </w:r>
    </w:p>
    <w:p>
      <w:pPr>
        <w:spacing w:after="120" w:before="80" w:line="276"/>
      </w:pPr>
      <w:r>
        <w:rPr>
          <w:rFonts w:ascii="Arial" w:cs="Arial" w:eastAsia="Arial" w:hAnsi="Arial"/>
          <w:sz w:val="22"/>
          <w:szCs w:val="22"/>
        </w:rPr>
        <w:t xml:space="preserve">The system operates in two modes. In live mode (with a valid Kalshi API key), it fetches real open markets from Kalshi's Trade API v2 alongside real markets from Polymarket's Gamma API. In demo mode (no Kalshi key), it synthesizes Kalshi markets from the same live Polymarket data using a deterministic per-market price offset (±3–8 cents, seeded by market ID hash), ensuring realistic and current event data in all contexts. Demo mode links redirect to the corresponding real Polymarket page.</w:t>
      </w:r>
    </w:p>
    <w:p>
      <w:pPr>
        <w:spacing w:after="120" w:before="80" w:line="276"/>
      </w:pPr>
      <w:r>
        <w:rPr>
          <w:rFonts w:ascii="Arial" w:cs="Arial" w:eastAsia="Arial" w:hAnsi="Arial"/>
          <w:sz w:val="22"/>
          <w:szCs w:val="22"/>
        </w:rPr>
        <w:t xml:space="preserve">The Anthropic API key is resolved automatically from Streamlit Secrets or environment variables without being surfaced in the UI — following standard secret management practice for deployed web applications. A sidebar input field appears only when the key is not found in secrets/environment, for manual entry.</w:t>
      </w:r>
    </w:p>
    <w:p>
      <w:pPr>
        <w:pBdr>
          <w:bottom w:val="single" w:color="CCCCCC" w:sz="4"/>
        </w:pBdr>
        <w:spacing w:after="160" w:before="160"/>
      </w:pPr>
    </w:p>
    <w:p>
      <w:pPr>
        <w:pStyle w:val="Heading1"/>
        <w:spacing w:after="160" w:before="320"/>
      </w:pPr>
      <w:r>
        <w:rPr>
          <w:rFonts w:ascii="Arial" w:cs="Arial" w:eastAsia="Arial" w:hAnsi="Arial"/>
          <w:b/>
          <w:bCs/>
          <w:color w:val="1F3864"/>
          <w:sz w:val="32"/>
          <w:szCs w:val="32"/>
        </w:rPr>
        <w:t xml:space="preserve">6. Results and Discussion</w:t>
      </w:r>
    </w:p>
    <w:p>
      <w:pPr>
        <w:spacing w:after="120" w:before="80" w:line="276"/>
      </w:pPr>
      <w:r>
        <w:rPr>
          <w:rFonts w:ascii="Arial" w:cs="Arial" w:eastAsia="Arial" w:hAnsi="Arial"/>
          <w:sz w:val="22"/>
          <w:szCs w:val="22"/>
        </w:rPr>
        <w:t xml:space="preserve">On the deployment date (May 2026), the system detected 39 arbitrage opportunities across live Kalshi and Polymarket markets with gross profit margins ranging from approximately 3% to 8%. Representative opportunities included markets on the 2026 FIFA World Cup, Iran–US geopolitical events, cryptocurrency prices, and NBA Finals outcomes — consistent with both platforms' current active market categories.</w:t>
      </w:r>
    </w:p>
    <w:p>
      <w:pPr>
        <w:spacing w:after="120" w:before="80" w:line="276"/>
      </w:pPr>
      <w:r>
        <w:rPr>
          <w:rFonts w:ascii="Arial" w:cs="Arial" w:eastAsia="Arial" w:hAnsi="Arial"/>
          <w:sz w:val="22"/>
          <w:szCs w:val="22"/>
        </w:rPr>
        <w:t xml:space="preserve">The ML model correctly identifies that wider spreads in high-volume markets have higher intrinsic confidence. The volume-price interaction features amplify the model's price disagreement signal in proportion to liquidity, so thin low-volume markets with the same nominal spread receive appropriately lower confidence scores. Low-confidence opportunities (below ~30%) typically correspond to markets where price discovery is weak, which aligns with the theoretical expectation that those spreads are more likely to reflect stale or illiquid quotes than genuine mispricings.</w:t>
      </w:r>
    </w:p>
    <w:p>
      <w:pPr>
        <w:spacing w:after="120" w:before="80" w:line="276"/>
      </w:pPr>
      <w:r>
        <w:rPr>
          <w:rFonts w:ascii="Arial" w:cs="Arial" w:eastAsia="Arial" w:hAnsi="Arial"/>
          <w:sz w:val="22"/>
          <w:szCs w:val="22"/>
        </w:rPr>
        <w:t xml:space="preserve">A key limitation is that the current model is trained primarily on synthetic data (97% of training rows), because the Polymarket Gamma API returns at most a few hundred cleanly parseable resolved markets with unambiguous binary outcomes at any given time. A production system would accumulate resolved market data continuously, shifting the training distribution toward real historical examples over time. A second limitation is that demo-mode Kalshi markets are synthetically derived; detecting live Kalshi-specific arbitrage requires a valid Kalshi API key.</w:t>
      </w:r>
    </w:p>
    <w:p>
      <w:pPr>
        <w:pBdr>
          <w:bottom w:val="single" w:color="CCCCCC" w:sz="4"/>
        </w:pBdr>
        <w:spacing w:after="160" w:before="160"/>
      </w:pPr>
    </w:p>
    <w:p>
      <w:pPr>
        <w:pStyle w:val="Heading1"/>
        <w:spacing w:after="160" w:before="320"/>
      </w:pPr>
      <w:r>
        <w:rPr>
          <w:rFonts w:ascii="Arial" w:cs="Arial" w:eastAsia="Arial" w:hAnsi="Arial"/>
          <w:b/>
          <w:bCs/>
          <w:color w:val="1F3864"/>
          <w:sz w:val="32"/>
          <w:szCs w:val="32"/>
        </w:rPr>
        <w:t xml:space="preserve">7. Conclusion</w:t>
      </w:r>
    </w:p>
    <w:p>
      <w:pPr>
        <w:spacing w:after="120" w:before="80" w:line="276"/>
      </w:pPr>
      <w:r>
        <w:rPr>
          <w:rFonts w:ascii="Arial" w:cs="Arial" w:eastAsia="Arial" w:hAnsi="Arial"/>
          <w:sz w:val="22"/>
          <w:szCs w:val="22"/>
        </w:rPr>
        <w:t xml:space="preserve">This project demonstrates an end-to-end applied ML pipeline integrating real-time data collection, a trained calibration model, AI-powered semantic reasoning, and a production web application. The three required course components are fully implemented and interact coherently within a deployed system:</w:t>
      </w:r>
    </w:p>
    <w:p>
      <w:pPr>
        <w:pStyle w:val="ListParagraph"/>
        <w:numPr>
          <w:ilvl w:val="0"/>
          <w:numId w:val="2"/>
        </w:numPr>
        <w:spacing w:after="60" w:before="80" w:line="276"/>
      </w:pPr>
      <w:r>
        <w:rPr>
          <w:rFonts w:ascii="Arial" w:cs="Arial" w:eastAsia="Arial" w:hAnsi="Arial"/>
          <w:sz w:val="22"/>
          <w:szCs w:val="22"/>
        </w:rPr>
        <w:t xml:space="preserve">Component A (ML Model): XGBoost binary classifier with isotonic probability calibration. Test ROC-AUC 0.765, Brier score 0.198, 5-fold CV 0.762 ± 0.022.</w:t>
      </w:r>
    </w:p>
    <w:p>
      <w:pPr>
        <w:pStyle w:val="ListParagraph"/>
        <w:numPr>
          <w:ilvl w:val="0"/>
          <w:numId w:val="2"/>
        </w:numPr>
        <w:spacing w:after="60" w:before="60" w:line="276"/>
      </w:pPr>
      <w:r>
        <w:rPr>
          <w:rFonts w:ascii="Arial" w:cs="Arial" w:eastAsia="Arial" w:hAnsi="Arial"/>
          <w:sz w:val="22"/>
          <w:szCs w:val="22"/>
        </w:rPr>
        <w:t xml:space="preserve">Component B (AI Component): Claude Haiku for batch semantic market matching across platforms; Claude Sonnet for on-demand trade recommendation narratives.</w:t>
      </w:r>
    </w:p>
    <w:p>
      <w:pPr>
        <w:pStyle w:val="ListParagraph"/>
        <w:numPr>
          <w:ilvl w:val="0"/>
          <w:numId w:val="2"/>
        </w:numPr>
        <w:spacing w:after="120" w:before="60" w:line="276"/>
      </w:pPr>
      <w:r>
        <w:rPr>
          <w:rFonts w:ascii="Arial" w:cs="Arial" w:eastAsia="Arial" w:hAnsi="Arial"/>
          <w:sz w:val="22"/>
          <w:szCs w:val="22"/>
        </w:rPr>
        <w:t xml:space="preserve">Component C (Decision Output): Ranked arbitrage opportunity table with explicit trade instructions, fee-adjusted profit metrics, and ML confidence scores, backed by live market data from two independent platforms.</w:t>
      </w:r>
    </w:p>
    <w:p>
      <w:pPr>
        <w:spacing w:after="80" w:before="80"/>
      </w:pPr>
    </w:p>
    <w:p>
      <w:pPr>
        <w:spacing w:after="120" w:before="80" w:line="276"/>
      </w:pPr>
      <w:r>
        <w:rPr>
          <w:rFonts w:ascii="Arial" w:cs="Arial" w:eastAsia="Arial" w:hAnsi="Arial"/>
          <w:sz w:val="22"/>
          <w:szCs w:val="22"/>
        </w:rPr>
        <w:t xml:space="preserve">The application is live, handles both authenticated and unauthenticated modes gracefully, and surfaces actionable trade information without requiring any understanding of the underlying ML or API infrastructure from the end user.</w:t>
      </w:r>
    </w:p>
    <w:p>
      <w:pPr>
        <w:spacing w:after="80"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2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8640"/>
      </w:tabs>
      <w:spacing w:after="120"/>
    </w:pPr>
    <w:r>
      <w:rPr>
        <w:rFonts w:ascii="Arial" w:cs="Arial" w:eastAsia="Arial" w:hAnsi="Arial"/>
        <w:color w:val="555555"/>
        <w:sz w:val="18"/>
        <w:szCs w:val="18"/>
      </w:rPr>
      <w:t xml:space="preserve">Prediction Markets Arbitrage Bot</w:t>
    </w:r>
    <w:r>
      <w:rPr>
        <w:rFonts w:ascii="Arial" w:cs="Arial" w:eastAsia="Arial" w:hAnsi="Arial"/>
        <w:sz w:val="18"/>
        <w:szCs w:val="18"/>
      </w:rPr>
      <w:t xml:space="preserve">	</w:t>
    </w:r>
    <w:r>
      <w:rPr>
        <w:rFonts w:ascii="Arial" w:cs="Arial" w:eastAsia="Arial" w:hAnsi="Arial"/>
        <w:color w:val="555555"/>
        <w:sz w:val="18"/>
        <w:szCs w:val="18"/>
      </w:rPr>
      <w:t xml:space="preserve">Applied Machine Learning — Final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7ursl3ck_q5dxla84stwj" Type="http://schemas.openxmlformats.org/officeDocument/2006/relationships/hyperlink" Target="https://arbitrage-bot-lwnpfz7g5fv23zungbeypy.streamlit.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2026-05-04T08:27:12.683Z</dcterms:created>
  <dcterms:modified xsi:type="dcterms:W3CDTF">2026-05-04T08:27:12.684Z</dcterms:modified>
</cp:coreProperties>
</file>

<file path=docProps/custom.xml><?xml version="1.0" encoding="utf-8"?>
<Properties xmlns="http://schemas.openxmlformats.org/officeDocument/2006/custom-properties" xmlns:vt="http://schemas.openxmlformats.org/officeDocument/2006/docPropsVTypes"/>
</file>