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6"/>
          <w:szCs w:val="36"/>
        </w:rPr>
        <w:t xml:space="preserve">Prediction Markets Arbitrage Bot: Kalshi &amp; Polymarket</w:t>
      </w:r>
    </w:p>
    <w:p>
      <w:pPr>
        <w:spacing w:after="40" w:before="0"/>
        <w:jc w:val="center"/>
      </w:pPr>
      <w:r>
        <w:rPr>
          <w:rFonts w:ascii="Arial" w:cs="Arial" w:eastAsia="Arial" w:hAnsi="Arial"/>
          <w:i/>
          <w:iCs/>
          <w:color w:val="555555"/>
          <w:sz w:val="22"/>
          <w:szCs w:val="22"/>
        </w:rPr>
        <w:t xml:space="preserve">Applied Machine Learning — Final Project  |  May 2026</w:t>
      </w:r>
    </w:p>
    <w:p>
      <w:pPr>
        <w:spacing w:after="180" w:before="0"/>
        <w:jc w:val="center"/>
      </w:pPr>
      <w:hyperlink w:history="1" r:id="rIdx7ltvrg7rbqvtmat5warl">
        <w:r>
          <w:rPr>
            <w:rStyle w:val="Hyperlink"/>
            <w:rFonts w:ascii="Arial" w:cs="Arial" w:eastAsia="Arial" w:hAnsi="Arial"/>
            <w:sz w:val="20"/>
            <w:szCs w:val="20"/>
          </w:rPr>
          <w:t xml:space="preserve">arbitrage-bot-lwnpfz7g5fv23zungbeypy.streamlit.app</w:t>
        </w:r>
      </w:hyperlink>
    </w:p>
    <w:p>
      <w:pPr>
        <w:pStyle w:val="Heading1"/>
        <w:spacing w:after="80" w:before="200"/>
      </w:pPr>
      <w:r>
        <w:rPr>
          <w:rFonts w:ascii="Arial" w:cs="Arial" w:eastAsia="Arial" w:hAnsi="Arial"/>
          <w:b/>
          <w:bCs/>
          <w:color w:val="1F3864"/>
          <w:sz w:val="28"/>
          <w:szCs w:val="28"/>
        </w:rPr>
        <w:t xml:space="preserve">Overview</w:t>
      </w:r>
    </w:p>
    <w:p>
      <w:pPr>
        <w:spacing w:after="100" w:before="0" w:line="260"/>
      </w:pPr>
      <w:r>
        <w:rPr>
          <w:rFonts w:ascii="Arial" w:cs="Arial" w:eastAsia="Arial" w:hAnsi="Arial"/>
          <w:sz w:val="20"/>
          <w:szCs w:val="20"/>
        </w:rPr>
        <w:t xml:space="preserve">This project is a live arbitrage detection system for two real-money prediction markets: Kalshi (CFTC-regulated) and Polymarket (crypto-based). When the same event trades at different prices on each platform, a trader can buy YES on the cheaper side and NO on the other — the combined cost is below $1.00, guaranteeing a profit before fees regardless of outcome. The system fetches live markets from both platforms, uses Claude to semantically match them, scores each pair with a trained ML model, and surfaces ranked trade recommendations through a deployed Streamlit app.</w:t>
      </w:r>
    </w:p>
    <w:p>
      <w:pPr>
        <w:pStyle w:val="Heading1"/>
        <w:spacing w:after="80" w:before="200"/>
      </w:pPr>
      <w:r>
        <w:rPr>
          <w:rFonts w:ascii="Arial" w:cs="Arial" w:eastAsia="Arial" w:hAnsi="Arial"/>
          <w:b/>
          <w:bCs/>
          <w:color w:val="1F3864"/>
          <w:sz w:val="28"/>
          <w:szCs w:val="28"/>
        </w:rPr>
        <w:t xml:space="preserve">Component A: ML Model</w:t>
      </w:r>
    </w:p>
    <w:p>
      <w:pPr>
        <w:pStyle w:val="Heading2"/>
        <w:spacing w:after="60" w:before="140"/>
      </w:pPr>
      <w:r>
        <w:rPr>
          <w:rFonts w:ascii="Arial" w:cs="Arial" w:eastAsia="Arial" w:hAnsi="Arial"/>
          <w:b/>
          <w:bCs/>
          <w:color w:val="2E5FA3"/>
          <w:sz w:val="22"/>
          <w:szCs w:val="22"/>
        </w:rPr>
        <w:t xml:space="preserve">Task</w:t>
      </w:r>
    </w:p>
    <w:p>
      <w:pPr>
        <w:spacing w:after="100" w:before="0" w:line="260"/>
      </w:pPr>
      <w:r>
        <w:rPr>
          <w:rFonts w:ascii="Arial" w:cs="Arial" w:eastAsia="Arial" w:hAnsi="Arial"/>
          <w:sz w:val="20"/>
          <w:szCs w:val="20"/>
        </w:rPr>
        <w:t xml:space="preserve">Binary classification: predict whether a market's YES outcome resolves, given features observable ~30 days before resolution. The model outputs P_model(YES) — an independent calibrated probability. Opportunities are scored by how much the model disagrees with each platform's live price; large disagreement signals a genuine mispricing.</w:t>
      </w:r>
    </w:p>
    <w:p>
      <w:pPr>
        <w:spacing w:after="100" w:before="0" w:line="260"/>
      </w:pPr>
      <w:r>
        <w:rPr>
          <w:rFonts w:ascii="Arial" w:cs="Arial" w:eastAsia="Arial" w:hAnsi="Arial"/>
          <w:sz w:val="20"/>
          <w:szCs w:val="20"/>
        </w:rPr>
        <w:t xml:space="preserve">An earlier iteration predicted trade profitability directly from combined cost, which leaked the target variable (ROC-AUC = 1.0). Redesigning around market calibration eliminated the leakage and produced realistic uncertainty.</w:t>
      </w:r>
    </w:p>
    <w:p>
      <w:pPr>
        <w:pStyle w:val="Heading2"/>
        <w:spacing w:after="60" w:before="140"/>
      </w:pPr>
      <w:r>
        <w:rPr>
          <w:rFonts w:ascii="Arial" w:cs="Arial" w:eastAsia="Arial" w:hAnsi="Arial"/>
          <w:b/>
          <w:bCs/>
          <w:color w:val="2E5FA3"/>
          <w:sz w:val="22"/>
          <w:szCs w:val="22"/>
        </w:rPr>
        <w:t xml:space="preserve">Data &amp; Features</w:t>
      </w:r>
    </w:p>
    <w:p>
      <w:pPr>
        <w:spacing w:after="100" w:before="0" w:line="260"/>
      </w:pPr>
      <w:r>
        <w:rPr>
          <w:rFonts w:ascii="Arial" w:cs="Arial" w:eastAsia="Arial" w:hAnsi="Arial"/>
          <w:sz w:val="20"/>
          <w:szCs w:val="20"/>
        </w:rPr>
        <w:t xml:space="preserve">Training set: 83 real resolved Polymarket markets (Gamma API) + 2,417 synthetic rows calibrated to Polymarket statistics (Beta(1.5,1.5) prices, lognormal volume, category-specific calibration noise). Total: 2,500 rows, ~50/50 YES/NO split.</w:t>
      </w:r>
    </w:p>
    <w:p>
      <w:pPr>
        <w:spacing w:after="100" w:before="0" w:line="260"/>
      </w:pPr>
      <w:r>
        <w:rPr>
          <w:rFonts w:ascii="Arial" w:cs="Arial" w:eastAsia="Arial" w:hAnsi="Arial"/>
          <w:sz w:val="20"/>
          <w:szCs w:val="20"/>
        </w:rPr>
        <w:t xml:space="preserve">Seven engineered features: yes_price, log_volume, days_to_resolution, category_enc, price_confidence (log_vol × |1 − 2p|), extreme_price (binary: p &lt; 0.10 or &gt; 0.90), log_vol_x_price.</w:t>
      </w:r>
    </w:p>
    <w:p>
      <w:pPr>
        <w:pStyle w:val="Heading2"/>
        <w:spacing w:after="60" w:before="140"/>
      </w:pPr>
      <w:r>
        <w:rPr>
          <w:rFonts w:ascii="Arial" w:cs="Arial" w:eastAsia="Arial" w:hAnsi="Arial"/>
          <w:b/>
          <w:bCs/>
          <w:color w:val="2E5FA3"/>
          <w:sz w:val="22"/>
          <w:szCs w:val="22"/>
        </w:rPr>
        <w:t xml:space="preserve">Model &amp; Results</w:t>
      </w:r>
    </w:p>
    <w:p>
      <w:pPr>
        <w:spacing w:after="100" w:before="0" w:line="260"/>
      </w:pPr>
      <w:r>
        <w:rPr>
          <w:rFonts w:ascii="Arial" w:cs="Arial" w:eastAsia="Arial" w:hAnsi="Arial"/>
          <w:sz w:val="20"/>
          <w:szCs w:val="20"/>
        </w:rPr>
        <w:t xml:space="preserve">XGBoost classifier (300 trees, depth 4, lr 0.05) wrapped in CalibratedClassifierCV with isotonic regression — essential for trustworthy probability outputs. 80/20 stratified split, seed 42.</w:t>
      </w:r>
    </w:p>
    <w:p>
      <w:pPr>
        <w:pStyle w:val="ListParagraph"/>
        <w:numPr>
          <w:ilvl w:val="0"/>
          <w:numId w:val="2"/>
        </w:numPr>
        <w:spacing w:after="60" w:before="0" w:line="260"/>
      </w:pPr>
      <w:r>
        <w:rPr>
          <w:rFonts w:ascii="Arial" w:cs="Arial" w:eastAsia="Arial" w:hAnsi="Arial"/>
          <w:b/>
          <w:bCs/>
          <w:sz w:val="20"/>
          <w:szCs w:val="20"/>
        </w:rPr>
        <w:t xml:space="preserve">Test ROC-AUC: </w:t>
      </w:r>
      <w:r>
        <w:rPr>
          <w:rFonts w:ascii="Arial" w:cs="Arial" w:eastAsia="Arial" w:hAnsi="Arial"/>
          <w:sz w:val="20"/>
          <w:szCs w:val="20"/>
        </w:rPr>
        <w:t xml:space="preserve">0.765  (chance = 0.50)</w:t>
      </w:r>
    </w:p>
    <w:p>
      <w:pPr>
        <w:pStyle w:val="ListParagraph"/>
        <w:numPr>
          <w:ilvl w:val="0"/>
          <w:numId w:val="2"/>
        </w:numPr>
        <w:spacing w:after="60" w:before="0" w:line="260"/>
      </w:pPr>
      <w:r>
        <w:rPr>
          <w:rFonts w:ascii="Arial" w:cs="Arial" w:eastAsia="Arial" w:hAnsi="Arial"/>
          <w:b/>
          <w:bCs/>
          <w:sz w:val="20"/>
          <w:szCs w:val="20"/>
        </w:rPr>
        <w:t xml:space="preserve">Brier Score: </w:t>
      </w:r>
      <w:r>
        <w:rPr>
          <w:rFonts w:ascii="Arial" w:cs="Arial" w:eastAsia="Arial" w:hAnsi="Arial"/>
          <w:sz w:val="20"/>
          <w:szCs w:val="20"/>
        </w:rPr>
        <w:t xml:space="preserve">0.198  (naive baseline = 0.25)</w:t>
      </w:r>
    </w:p>
    <w:p>
      <w:pPr>
        <w:pStyle w:val="ListParagraph"/>
        <w:numPr>
          <w:ilvl w:val="0"/>
          <w:numId w:val="2"/>
        </w:numPr>
        <w:spacing w:after="60" w:before="0" w:line="260"/>
      </w:pPr>
      <w:r>
        <w:rPr>
          <w:rFonts w:ascii="Arial" w:cs="Arial" w:eastAsia="Arial" w:hAnsi="Arial"/>
          <w:b/>
          <w:bCs/>
          <w:sz w:val="20"/>
          <w:szCs w:val="20"/>
        </w:rPr>
        <w:t xml:space="preserve">5-Fold CV ROC-AUC: </w:t>
      </w:r>
      <w:r>
        <w:rPr>
          <w:rFonts w:ascii="Arial" w:cs="Arial" w:eastAsia="Arial" w:hAnsi="Arial"/>
          <w:sz w:val="20"/>
          <w:szCs w:val="20"/>
        </w:rPr>
        <w:t xml:space="preserve">0.762 ± 0.022</w:t>
      </w:r>
    </w:p>
    <w:p>
      <w:pPr>
        <w:spacing w:after="100" w:before="100"/>
      </w:pPr>
    </w:p>
    <w:p>
      <w:pPr>
        <w:spacing w:after="100" w:before="0" w:line="260"/>
      </w:pPr>
      <w:r>
        <w:rPr>
          <w:rFonts w:ascii="Arial" w:cs="Arial" w:eastAsia="Arial" w:hAnsi="Arial"/>
          <w:sz w:val="20"/>
          <w:szCs w:val="20"/>
        </w:rPr>
        <w:t xml:space="preserve">Top features: yes_price (0.37), log_vol_x_price (0.16), price_confidence (0.15). Results are consistent with published prediction market calibration literature (typical range: 0.72–0.82 ROC-AUC).</w:t>
      </w:r>
    </w:p>
    <w:p>
      <w:pPr>
        <w:pStyle w:val="Heading1"/>
        <w:spacing w:after="80" w:before="200"/>
      </w:pPr>
      <w:r>
        <w:rPr>
          <w:rFonts w:ascii="Arial" w:cs="Arial" w:eastAsia="Arial" w:hAnsi="Arial"/>
          <w:b/>
          <w:bCs/>
          <w:color w:val="1F3864"/>
          <w:sz w:val="28"/>
          <w:szCs w:val="28"/>
        </w:rPr>
        <w:t xml:space="preserve">Component B: AI Layer</w:t>
      </w:r>
    </w:p>
    <w:p>
      <w:pPr>
        <w:pStyle w:val="Heading2"/>
        <w:spacing w:after="60" w:before="140"/>
      </w:pPr>
      <w:r>
        <w:rPr>
          <w:rFonts w:ascii="Arial" w:cs="Arial" w:eastAsia="Arial" w:hAnsi="Arial"/>
          <w:b/>
          <w:bCs/>
          <w:color w:val="2E5FA3"/>
          <w:sz w:val="22"/>
          <w:szCs w:val="22"/>
        </w:rPr>
        <w:t xml:space="preserve">Semantic Market Matching (Claude Haiku)</w:t>
      </w:r>
    </w:p>
    <w:p>
      <w:pPr>
        <w:spacing w:after="100" w:before="0" w:line="260"/>
      </w:pPr>
      <w:r>
        <w:rPr>
          <w:rFonts w:ascii="Arial" w:cs="Arial" w:eastAsia="Arial" w:hAnsi="Arial"/>
          <w:sz w:val="20"/>
          <w:szCs w:val="20"/>
        </w:rPr>
        <w:t xml:space="preserve">Kalshi and Polymarket describe the same events with different wording — keyword overlap alone misses most matches. For each Kalshi market, the top 10 Polymarket candidates are sent to Claude Haiku with a structured prompt requesting a JSON response: best match index, confidence (high/medium/low), and one-sentence reasoning. Only high/medium matches proceed; low-confidence pairs are dropped to avoid spurious trades. Haiku was chosen for low cost and speed when batch-processing 75+ markets.</w:t>
      </w:r>
    </w:p>
    <w:p>
      <w:pPr>
        <w:pStyle w:val="Heading2"/>
        <w:spacing w:after="60" w:before="140"/>
      </w:pPr>
      <w:r>
        <w:rPr>
          <w:rFonts w:ascii="Arial" w:cs="Arial" w:eastAsia="Arial" w:hAnsi="Arial"/>
          <w:b/>
          <w:bCs/>
          <w:color w:val="2E5FA3"/>
          <w:sz w:val="22"/>
          <w:szCs w:val="22"/>
        </w:rPr>
        <w:t xml:space="preserve">Trade Recommendations (Claude Sonnet)</w:t>
      </w:r>
    </w:p>
    <w:p>
      <w:pPr>
        <w:spacing w:after="100" w:before="0" w:line="260"/>
      </w:pPr>
      <w:r>
        <w:rPr>
          <w:rFonts w:ascii="Arial" w:cs="Arial" w:eastAsia="Arial" w:hAnsi="Arial"/>
          <w:sz w:val="20"/>
          <w:szCs w:val="20"/>
        </w:rPr>
        <w:t xml:space="preserve">When a user selects an opportunity, Claude Sonnet generates a 3–5 paragraph analysis: which side to buy on each platform and why, the economic basis for the spread, key risks (liquidity, time decay, fees), and event context. If the API key is absent, both components fall back gracefully — Jaccard keyword matching for pairing, templated summaries for recommendations.</w:t>
      </w:r>
    </w:p>
    <w:p>
      <w:pPr>
        <w:pStyle w:val="Heading1"/>
        <w:spacing w:after="80" w:before="200"/>
      </w:pPr>
      <w:r>
        <w:rPr>
          <w:rFonts w:ascii="Arial" w:cs="Arial" w:eastAsia="Arial" w:hAnsi="Arial"/>
          <w:b/>
          <w:bCs/>
          <w:color w:val="1F3864"/>
          <w:sz w:val="28"/>
          <w:szCs w:val="28"/>
        </w:rPr>
        <w:t xml:space="preserve">Component C: Decision Output</w:t>
      </w:r>
    </w:p>
    <w:p>
      <w:pPr>
        <w:spacing w:after="100" w:before="0" w:line="260"/>
      </w:pPr>
      <w:r>
        <w:rPr>
          <w:rFonts w:ascii="Arial" w:cs="Arial" w:eastAsia="Arial" w:hAnsi="Arial"/>
          <w:sz w:val="20"/>
          <w:szCs w:val="20"/>
        </w:rPr>
        <w:t xml:space="preserve">For each matched pair, the system determines the trade direction (buy YES on the cheaper platform, NO on the other), computes combined cost, gross profit (1 − combined cost), and net profit after fees (Kalshi ~7% of winnings, Polymarket ~2% round-trip). Opportunities are ranked by ML confidence × gross profit %.</w:t>
      </w:r>
    </w:p>
    <w:p>
      <w:pPr>
        <w:spacing w:after="100" w:before="0" w:line="260"/>
      </w:pPr>
      <w:r>
        <w:rPr>
          <w:rFonts w:ascii="Arial" w:cs="Arial" w:eastAsia="Arial" w:hAnsi="Arial"/>
          <w:sz w:val="20"/>
          <w:szCs w:val="20"/>
        </w:rPr>
        <w:t xml:space="preserve">Outputs: (1) color-coded opportunity table with prices, spread, profit %, ML confidence, days left, and match quality; (2) per-trade card with bar chart, profit gauge, and explicit instructions (e.g., "Buy NO @ 0.537" / "Buy YES @ 0.385"); (3) on-demand Claude Sonnet narrative. An interactive ML Scorer tab lets users tune inputs and see model scores in real time.</w:t>
      </w:r>
    </w:p>
    <w:p>
      <w:pPr>
        <w:pStyle w:val="Heading1"/>
        <w:spacing w:after="80" w:before="200"/>
      </w:pPr>
      <w:r>
        <w:rPr>
          <w:rFonts w:ascii="Arial" w:cs="Arial" w:eastAsia="Arial" w:hAnsi="Arial"/>
          <w:b/>
          <w:bCs/>
          <w:color w:val="1F3864"/>
          <w:sz w:val="28"/>
          <w:szCs w:val="28"/>
        </w:rPr>
        <w:t xml:space="preserve">System &amp; Results</w:t>
      </w:r>
    </w:p>
    <w:p>
      <w:pPr>
        <w:spacing w:after="100" w:before="0" w:line="260"/>
      </w:pPr>
      <w:r>
        <w:rPr>
          <w:rFonts w:ascii="Arial" w:cs="Arial" w:eastAsia="Arial" w:hAnsi="Arial"/>
          <w:sz w:val="20"/>
          <w:szCs w:val="20"/>
        </w:rPr>
        <w:t xml:space="preserve">Built with Streamlit, per-platform @st.cache_data caching, and isolated exception handling so a failure on one platform never blocks the other. In live mode (Kalshi API key present), both platforms return real open markets. In demo mode, synthetic Kalshi markets are derived from live Polymarket data with deterministic per-market price offsets, keeping the app useful without credentials. API keys are resolved from Streamlit Secrets or environment variables and never displayed in the UI.</w:t>
      </w:r>
    </w:p>
    <w:p>
      <w:pPr>
        <w:spacing w:after="100" w:before="0" w:line="260"/>
      </w:pPr>
      <w:r>
        <w:rPr>
          <w:rFonts w:ascii="Arial" w:cs="Arial" w:eastAsia="Arial" w:hAnsi="Arial"/>
          <w:sz w:val="20"/>
          <w:szCs w:val="20"/>
        </w:rPr>
        <w:t xml:space="preserve">At submission time the live app detected 39 arbitrage opportunities (gross profit 3–8%) across sports, geopolitics, and crypto markets. Low-confidence opportunities correctly cluster around thin, illiquid markets — consistent with the model's volume-weighted scoring logic. Primary limitation: 97% of training data is synthetic; a production system would accumulate real resolved markets continuously.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1F3864"/>
      <w:sz w:val="28"/>
      <w:szCs w:val="28"/>
    </w:rPr>
  </w:style>
  <w:style w:type="paragraph" w:styleId="Heading2">
    <w:name w:val="Heading 2"/>
    <w:basedOn w:val="Normal"/>
    <w:next w:val="Normal"/>
    <w:qFormat/>
    <w:pPr>
      <w:spacing w:after="60" w:before="140"/>
      <w:outlineLvl w:val="1"/>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7ltvrg7rbqvtmat5warl" Type="http://schemas.openxmlformats.org/officeDocument/2006/relationships/hyperlink" Target="https://arbitrage-bot-lwnpfz7g5fv23zungbeypy.streamlit.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2026-05-04T08:33:13.784Z</dcterms:created>
  <dcterms:modified xsi:type="dcterms:W3CDTF">2026-05-04T08:33:13.785Z</dcterms:modified>
</cp:coreProperties>
</file>

<file path=docProps/custom.xml><?xml version="1.0" encoding="utf-8"?>
<Properties xmlns="http://schemas.openxmlformats.org/officeDocument/2006/custom-properties" xmlns:vt="http://schemas.openxmlformats.org/officeDocument/2006/docPropsVTypes"/>
</file>