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Prediction Markets Arbitrage Bot: Kalshi &amp; Polymarket</w:t>
      </w:r>
    </w:p>
    <w:p>
      <w:pPr>
        <w:spacing w:after="40" w:before="0"/>
        <w:jc w:val="center"/>
      </w:pPr>
      <w:r>
        <w:rPr>
          <w:rFonts w:ascii="Arial" w:cs="Arial" w:eastAsia="Arial" w:hAnsi="Arial"/>
          <w:i/>
          <w:iCs/>
          <w:color w:val="555555"/>
          <w:sz w:val="22"/>
          <w:szCs w:val="22"/>
        </w:rPr>
        <w:t xml:space="preserve">Applied Machine Learning — Final Project  |  May 2026</w:t>
      </w:r>
    </w:p>
    <w:p>
      <w:pPr>
        <w:spacing w:after="200" w:before="0"/>
        <w:jc w:val="center"/>
      </w:pPr>
      <w:hyperlink w:history="1" r:id="rIdjbyesgkz3dgek43ctt3xv">
        <w:r>
          <w:rPr>
            <w:rStyle w:val="Hyperlink"/>
            <w:rFonts w:ascii="Arial" w:cs="Arial" w:eastAsia="Arial" w:hAnsi="Arial"/>
            <w:sz w:val="20"/>
            <w:szCs w:val="20"/>
          </w:rPr>
          <w:t xml:space="preserve">arbitrage-bot-lwnpfz7g5fv23zungbeypy.streamlit.app</w:t>
        </w:r>
      </w:hyperlink>
    </w:p>
    <w:p>
      <w:pPr>
        <w:pStyle w:val="Heading1"/>
        <w:spacing w:after="80" w:before="220"/>
      </w:pPr>
      <w:r>
        <w:rPr>
          <w:rFonts w:ascii="Arial" w:cs="Arial" w:eastAsia="Arial" w:hAnsi="Arial"/>
          <w:b/>
          <w:bCs/>
          <w:color w:val="1F3864"/>
          <w:sz w:val="28"/>
          <w:szCs w:val="28"/>
        </w:rPr>
        <w:t xml:space="preserve">Overview</w:t>
      </w:r>
    </w:p>
    <w:p>
      <w:pPr>
        <w:spacing w:after="110" w:before="0" w:line="265"/>
      </w:pPr>
      <w:r>
        <w:rPr>
          <w:rFonts w:ascii="Arial" w:cs="Arial" w:eastAsia="Arial" w:hAnsi="Arial"/>
          <w:sz w:val="21"/>
          <w:szCs w:val="21"/>
        </w:rPr>
        <w:t xml:space="preserve">This project is a live arbitrage detection system for two real-money prediction markets: Kalshi (CFTC-regulated) and Polymarket (crypto-based). Both platforms let users trade on the probability of real-world events — elections, economic indicators, sports outcomes — as binary yes/no contracts that pay $1 if the event occurs and $0 if it doesn't.</w:t>
      </w:r>
    </w:p>
    <w:p>
      <w:pPr>
        <w:spacing w:after="110" w:before="0" w:line="265"/>
      </w:pPr>
      <w:r>
        <w:rPr>
          <w:rFonts w:ascii="Arial" w:cs="Arial" w:eastAsia="Arial" w:hAnsi="Arial"/>
          <w:sz w:val="21"/>
          <w:szCs w:val="21"/>
        </w:rPr>
        <w:t xml:space="preserve">Arbitrage is possible because the platforms operate independently with separate user bases and liquidity pools. When the same event trades at different prices on each platform, a trader can buy YES on the cheaper platform and NO on the other. The combined cost of both positions is below $1.00, guaranteeing a locked-in profit regardless of how the event resolves. The system automates the full pipeline: fetching live markets, matching them across platforms using AI, scoring each opportunity with a trained ML model, and presenting ranked trade recommendations through a deployed Streamlit application.</w:t>
      </w:r>
    </w:p>
    <w:p>
      <w:pPr>
        <w:pStyle w:val="Heading1"/>
        <w:spacing w:after="80" w:before="220"/>
      </w:pPr>
      <w:r>
        <w:rPr>
          <w:rFonts w:ascii="Arial" w:cs="Arial" w:eastAsia="Arial" w:hAnsi="Arial"/>
          <w:b/>
          <w:bCs/>
          <w:color w:val="1F3864"/>
          <w:sz w:val="28"/>
          <w:szCs w:val="28"/>
        </w:rPr>
        <w:t xml:space="preserve">Component A: ML Model</w:t>
      </w:r>
    </w:p>
    <w:p>
      <w:pPr>
        <w:pStyle w:val="Heading2"/>
        <w:spacing w:after="60" w:before="160"/>
      </w:pPr>
      <w:r>
        <w:rPr>
          <w:rFonts w:ascii="Arial" w:cs="Arial" w:eastAsia="Arial" w:hAnsi="Arial"/>
          <w:b/>
          <w:bCs/>
          <w:color w:val="2E5FA3"/>
          <w:sz w:val="23"/>
          <w:szCs w:val="23"/>
        </w:rPr>
        <w:t xml:space="preserve">Task Design and Leakage Problem</w:t>
      </w:r>
    </w:p>
    <w:p>
      <w:pPr>
        <w:spacing w:after="110" w:before="0" w:line="265"/>
      </w:pPr>
      <w:r>
        <w:rPr>
          <w:rFonts w:ascii="Arial" w:cs="Arial" w:eastAsia="Arial" w:hAnsi="Arial"/>
          <w:sz w:val="21"/>
          <w:szCs w:val="21"/>
        </w:rPr>
        <w:t xml:space="preserve">The ML task is binary classification: given features of a prediction market observable roughly 30 days before resolution, predict whether the YES outcome resolves. The model outputs P_model(YES) — an independent calibrated probability estimate. At inference time, the system computes how much the model disagrees with each platform's live price. Large disagreement signals that one platform is likely mispriced, which is the core arbitrage signal.</w:t>
      </w:r>
    </w:p>
    <w:p>
      <w:pPr>
        <w:spacing w:after="110" w:before="0" w:line="265"/>
      </w:pPr>
      <w:r>
        <w:rPr>
          <w:rFonts w:ascii="Arial" w:cs="Arial" w:eastAsia="Arial" w:hAnsi="Arial"/>
          <w:sz w:val="21"/>
          <w:szCs w:val="21"/>
        </w:rPr>
        <w:t xml:space="preserve">The first iteration of the model used a much simpler formulation: predict whether a matched trade pair would be profitable using the combined cost of the two legs as a feature. This produced a test ROC-AUC of 1.0 — immediately suspicious. The issue was direct data leakage: combined_cost is an arithmetic function of the two prices, and profitable_arb is defined as combined_cost &lt; 0.96. The model was memorizing a threshold, not learning anything. Removing the leaky feature left the model with no signal at all (ROC-AUC 0.52). The task itself needed to be redesigned.</w:t>
      </w:r>
    </w:p>
    <w:p>
      <w:pPr>
        <w:spacing w:after="110" w:before="0" w:line="265"/>
      </w:pPr>
      <w:r>
        <w:rPr>
          <w:rFonts w:ascii="Arial" w:cs="Arial" w:eastAsia="Arial" w:hAnsi="Arial"/>
          <w:sz w:val="21"/>
          <w:szCs w:val="21"/>
        </w:rPr>
        <w:t xml:space="preserve">The redesigned task avoids this entirely by framing the problem as market calibration: predicting whether markets are correctly priced relative to eventual outcomes. This is a well-studied problem in prediction market literature and produces realistic uncertainty without leakage. The arbitrage signal is then derived downstream from the model's predictions, not baked into the training target.</w:t>
      </w:r>
    </w:p>
    <w:p>
      <w:pPr>
        <w:pStyle w:val="Heading2"/>
        <w:spacing w:after="60" w:before="160"/>
      </w:pPr>
      <w:r>
        <w:rPr>
          <w:rFonts w:ascii="Arial" w:cs="Arial" w:eastAsia="Arial" w:hAnsi="Arial"/>
          <w:b/>
          <w:bCs/>
          <w:color w:val="2E5FA3"/>
          <w:sz w:val="23"/>
          <w:szCs w:val="23"/>
        </w:rPr>
        <w:t xml:space="preserve">Training Data</w:t>
      </w:r>
    </w:p>
    <w:p>
      <w:pPr>
        <w:spacing w:after="110" w:before="0" w:line="265"/>
      </w:pPr>
      <w:r>
        <w:rPr>
          <w:rFonts w:ascii="Arial" w:cs="Arial" w:eastAsia="Arial" w:hAnsi="Arial"/>
          <w:sz w:val="21"/>
          <w:szCs w:val="21"/>
        </w:rPr>
        <w:t xml:space="preserve">Training data came from two sources. First, 83 real resolved markets were pulled from Polymarket's public Gamma API. For each resolved market, the final price and resolution outcome were recorded. Since the API only returns post-resolution prices, a pre-resolution price was simulated using a seeded random walk: the price drifts toward the final resolution with added Gaussian noise (σ = 0.06), consistent with the empirical 4–8% price drift observed in prediction markets over 30-day windows. The RNG is seeded by market ID so results are reproducible.</w:t>
      </w:r>
    </w:p>
    <w:p>
      <w:pPr>
        <w:spacing w:after="110" w:before="0" w:line="265"/>
      </w:pPr>
      <w:r>
        <w:rPr>
          <w:rFonts w:ascii="Arial" w:cs="Arial" w:eastAsia="Arial" w:hAnsi="Arial"/>
          <w:sz w:val="21"/>
          <w:szCs w:val="21"/>
        </w:rPr>
        <w:t xml:space="preserve">Second, 2,417 synthetic markets were generated using statistics calibrated to real Polymarket data: YES prices drawn from Beta(1.5, 1.5), resolution probabilities perturbed by category-specific noise (σ = 0.04 for well-calibrated finance markets, σ = 0.09 for volatile crypto markets), and trading volume from a lognormal distribution positively correlated with controversy. The total training set is 2,500 rows with a near-balanced 50/50 YES/NO split.</w:t>
      </w:r>
    </w:p>
    <w:p>
      <w:pPr>
        <w:pStyle w:val="Heading2"/>
        <w:spacing w:after="60" w:before="160"/>
      </w:pPr>
      <w:r>
        <w:rPr>
          <w:rFonts w:ascii="Arial" w:cs="Arial" w:eastAsia="Arial" w:hAnsi="Arial"/>
          <w:b/>
          <w:bCs/>
          <w:color w:val="2E5FA3"/>
          <w:sz w:val="23"/>
          <w:szCs w:val="23"/>
        </w:rPr>
        <w:t xml:space="preserve">Feature Engineering</w:t>
      </w:r>
    </w:p>
    <w:p>
      <w:pPr>
        <w:spacing w:after="110" w:before="0" w:line="265"/>
      </w:pPr>
      <w:r>
        <w:rPr>
          <w:rFonts w:ascii="Arial" w:cs="Arial" w:eastAsia="Arial" w:hAnsi="Arial"/>
          <w:sz w:val="21"/>
          <w:szCs w:val="21"/>
        </w:rPr>
        <w:t xml:space="preserve">Seven features were engineered. Each reflects a specific hypothesis about what makes a market price reliable:</w:t>
      </w:r>
    </w:p>
    <w:p>
      <w:pPr>
        <w:pStyle w:val="ListParagraph"/>
        <w:numPr>
          <w:ilvl w:val="0"/>
          <w:numId w:val="2"/>
        </w:numPr>
        <w:spacing w:after="70" w:before="0" w:line="265"/>
      </w:pPr>
      <w:r>
        <w:rPr>
          <w:rFonts w:ascii="Arial" w:cs="Arial" w:eastAsia="Arial" w:hAnsi="Arial"/>
          <w:b/>
          <w:bCs/>
          <w:sz w:val="21"/>
          <w:szCs w:val="21"/>
        </w:rPr>
        <w:t xml:space="preserve">yes_price: </w:t>
      </w:r>
      <w:r>
        <w:rPr>
          <w:rFonts w:ascii="Arial" w:cs="Arial" w:eastAsia="Arial" w:hAnsi="Arial"/>
          <w:sz w:val="21"/>
          <w:szCs w:val="21"/>
        </w:rPr>
        <w:t xml:space="preserve">The market consensus probability. The single strongest signal — prices already encode most available information about outcome likelihood.</w:t>
      </w:r>
    </w:p>
    <w:p>
      <w:pPr>
        <w:pStyle w:val="ListParagraph"/>
        <w:numPr>
          <w:ilvl w:val="0"/>
          <w:numId w:val="2"/>
        </w:numPr>
        <w:spacing w:after="70" w:before="0" w:line="265"/>
      </w:pPr>
      <w:r>
        <w:rPr>
          <w:rFonts w:ascii="Arial" w:cs="Arial" w:eastAsia="Arial" w:hAnsi="Arial"/>
          <w:b/>
          <w:bCs/>
          <w:sz w:val="21"/>
          <w:szCs w:val="21"/>
        </w:rPr>
        <w:t xml:space="preserve">log_volume: </w:t>
      </w:r>
      <w:r>
        <w:rPr>
          <w:rFonts w:ascii="Arial" w:cs="Arial" w:eastAsia="Arial" w:hAnsi="Arial"/>
          <w:sz w:val="21"/>
          <w:szCs w:val="21"/>
        </w:rPr>
        <w:t xml:space="preserve">Natural log of 24-hour USD volume. High-volume markets have better price discovery; low-volume prices are more likely to be stale or manipulable.</w:t>
      </w:r>
    </w:p>
    <w:p>
      <w:pPr>
        <w:pStyle w:val="ListParagraph"/>
        <w:numPr>
          <w:ilvl w:val="0"/>
          <w:numId w:val="2"/>
        </w:numPr>
        <w:spacing w:after="70" w:before="0" w:line="265"/>
      </w:pPr>
      <w:r>
        <w:rPr>
          <w:rFonts w:ascii="Arial" w:cs="Arial" w:eastAsia="Arial" w:hAnsi="Arial"/>
          <w:b/>
          <w:bCs/>
          <w:sz w:val="21"/>
          <w:szCs w:val="21"/>
        </w:rPr>
        <w:t xml:space="preserve">days_to_resolution: </w:t>
      </w:r>
      <w:r>
        <w:rPr>
          <w:rFonts w:ascii="Arial" w:cs="Arial" w:eastAsia="Arial" w:hAnsi="Arial"/>
          <w:sz w:val="21"/>
          <w:szCs w:val="21"/>
        </w:rPr>
        <w:t xml:space="preserve">Calendar days until closing. Longer horizons give more time for prices to drift before resolving, which matters for assessing whether a current spread is stable.</w:t>
      </w:r>
    </w:p>
    <w:p>
      <w:pPr>
        <w:pStyle w:val="ListParagraph"/>
        <w:numPr>
          <w:ilvl w:val="0"/>
          <w:numId w:val="2"/>
        </w:numPr>
        <w:spacing w:after="70" w:before="0" w:line="265"/>
      </w:pPr>
      <w:r>
        <w:rPr>
          <w:rFonts w:ascii="Arial" w:cs="Arial" w:eastAsia="Arial" w:hAnsi="Arial"/>
          <w:b/>
          <w:bCs/>
          <w:sz w:val="21"/>
          <w:szCs w:val="21"/>
        </w:rPr>
        <w:t xml:space="preserve">category_enc: </w:t>
      </w:r>
      <w:r>
        <w:rPr>
          <w:rFonts w:ascii="Arial" w:cs="Arial" w:eastAsia="Arial" w:hAnsi="Arial"/>
          <w:sz w:val="21"/>
          <w:szCs w:val="21"/>
        </w:rPr>
        <w:t xml:space="preserve">Ordinal encoding of event category. Some categories are systematically miscalibrated — crypto markets tend to be noisier than finance markets.</w:t>
      </w:r>
    </w:p>
    <w:p>
      <w:pPr>
        <w:pStyle w:val="ListParagraph"/>
        <w:numPr>
          <w:ilvl w:val="0"/>
          <w:numId w:val="2"/>
        </w:numPr>
        <w:spacing w:after="70" w:before="0" w:line="265"/>
      </w:pPr>
      <w:r>
        <w:rPr>
          <w:rFonts w:ascii="Arial" w:cs="Arial" w:eastAsia="Arial" w:hAnsi="Arial"/>
          <w:b/>
          <w:bCs/>
          <w:sz w:val="21"/>
          <w:szCs w:val="21"/>
        </w:rPr>
        <w:t xml:space="preserve">price_confidence: </w:t>
      </w:r>
      <w:r>
        <w:rPr>
          <w:rFonts w:ascii="Arial" w:cs="Arial" w:eastAsia="Arial" w:hAnsi="Arial"/>
          <w:sz w:val="21"/>
          <w:szCs w:val="21"/>
        </w:rPr>
        <w:t xml:space="preserve">log_volume × (1 − 2|yes_price − 0.5|). Captures volume-weighted certainty: high when a liquid market has an extreme price (very reliable), low when a thin market is near 50/50 (uncertain).</w:t>
      </w:r>
    </w:p>
    <w:p>
      <w:pPr>
        <w:pStyle w:val="ListParagraph"/>
        <w:numPr>
          <w:ilvl w:val="0"/>
          <w:numId w:val="2"/>
        </w:numPr>
        <w:spacing w:after="70" w:before="0" w:line="265"/>
      </w:pPr>
      <w:r>
        <w:rPr>
          <w:rFonts w:ascii="Arial" w:cs="Arial" w:eastAsia="Arial" w:hAnsi="Arial"/>
          <w:b/>
          <w:bCs/>
          <w:sz w:val="21"/>
          <w:szCs w:val="21"/>
        </w:rPr>
        <w:t xml:space="preserve">extreme_price: </w:t>
      </w:r>
      <w:r>
        <w:rPr>
          <w:rFonts w:ascii="Arial" w:cs="Arial" w:eastAsia="Arial" w:hAnsi="Arial"/>
          <w:sz w:val="21"/>
          <w:szCs w:val="21"/>
        </w:rPr>
        <w:t xml:space="preserve">Binary flag for yes_price &lt; 0.10 or &gt; 0.90. Near-certain markets behave differently and are almost always well-calibrated; the model needs to know when it's in this regime.</w:t>
      </w:r>
    </w:p>
    <w:p>
      <w:pPr>
        <w:pStyle w:val="ListParagraph"/>
        <w:numPr>
          <w:ilvl w:val="0"/>
          <w:numId w:val="2"/>
        </w:numPr>
        <w:spacing w:after="70" w:before="0" w:line="265"/>
      </w:pPr>
      <w:r>
        <w:rPr>
          <w:rFonts w:ascii="Arial" w:cs="Arial" w:eastAsia="Arial" w:hAnsi="Arial"/>
          <w:b/>
          <w:bCs/>
          <w:sz w:val="21"/>
          <w:szCs w:val="21"/>
        </w:rPr>
        <w:t xml:space="preserve">log_vol_x_price: </w:t>
      </w:r>
      <w:r>
        <w:rPr>
          <w:rFonts w:ascii="Arial" w:cs="Arial" w:eastAsia="Arial" w:hAnsi="Arial"/>
          <w:sz w:val="21"/>
          <w:szCs w:val="21"/>
        </w:rPr>
        <w:t xml:space="preserve">Interaction of log_volume and yes_price. Captures the combined effect of high liquidity and directional conviction — the strongest indicator of a trustworthy price.</w:t>
      </w:r>
    </w:p>
    <w:p>
      <w:pPr>
        <w:spacing w:after="0" w:before="60"/>
      </w:pPr>
    </w:p>
    <w:p>
      <w:pPr>
        <w:pStyle w:val="Heading2"/>
        <w:spacing w:after="60" w:before="160"/>
      </w:pPr>
      <w:r>
        <w:rPr>
          <w:rFonts w:ascii="Arial" w:cs="Arial" w:eastAsia="Arial" w:hAnsi="Arial"/>
          <w:b/>
          <w:bCs/>
          <w:color w:val="2E5FA3"/>
          <w:sz w:val="23"/>
          <w:szCs w:val="23"/>
        </w:rPr>
        <w:t xml:space="preserve">Model Architecture and Results</w:t>
      </w:r>
    </w:p>
    <w:p>
      <w:pPr>
        <w:spacing w:after="110" w:before="0" w:line="265"/>
      </w:pPr>
      <w:r>
        <w:rPr>
          <w:rFonts w:ascii="Arial" w:cs="Arial" w:eastAsia="Arial" w:hAnsi="Arial"/>
          <w:sz w:val="21"/>
          <w:szCs w:val="21"/>
        </w:rPr>
        <w:t xml:space="preserve">The base learner is an XGBoost binary classifier (300 trees, max depth 4, learning rate 0.05, subsample 0.8, min child weight 5). It is wrapped in scikit-learn's CalibratedClassifierCV with isotonic regression calibration over 3 internal folds. The calibration step is not optional here — gradient-boosted trees are known to produce systematically overconfident probability outputs, and the arbitrage scoring logic depends entirely on the model's predicted probabilities being trustworthy. Without calibration, a model that outputs 0.85 when it should output 0.65 would produce false confidence in low-quality opportunities. Training used an 80/20 stratified split with seed 42.</w:t>
      </w:r>
    </w:p>
    <w:p>
      <w:pPr>
        <w:spacing w:after="0" w:before="40"/>
      </w:pPr>
    </w:p>
    <w:p>
      <w:pPr>
        <w:spacing w:after="50" w:before="50" w:line="265"/>
        <w:ind w:left="600"/>
      </w:pPr>
      <w:r>
        <w:rPr>
          <w:rFonts w:ascii="Arial" w:cs="Arial" w:eastAsia="Arial" w:hAnsi="Arial"/>
          <w:b/>
          <w:bCs/>
          <w:sz w:val="21"/>
          <w:szCs w:val="21"/>
        </w:rPr>
        <w:t xml:space="preserve">Test ROC-AUC: </w:t>
      </w:r>
      <w:r>
        <w:rPr>
          <w:rFonts w:ascii="Arial" w:cs="Arial" w:eastAsia="Arial" w:hAnsi="Arial"/>
          <w:sz w:val="21"/>
          <w:szCs w:val="21"/>
        </w:rPr>
        <w:t xml:space="preserve">0.765</w:t>
      </w:r>
      <w:r>
        <w:rPr>
          <w:rFonts w:ascii="Arial" w:cs="Arial" w:eastAsia="Arial" w:hAnsi="Arial"/>
          <w:i/>
          <w:iCs/>
          <w:color w:val="666666"/>
          <w:sz w:val="21"/>
          <w:szCs w:val="21"/>
        </w:rPr>
        <w:t xml:space="preserve">   (chance = 0.50)</w:t>
      </w:r>
    </w:p>
    <w:p>
      <w:pPr>
        <w:spacing w:after="50" w:before="50" w:line="265"/>
        <w:ind w:left="600"/>
      </w:pPr>
      <w:r>
        <w:rPr>
          <w:rFonts w:ascii="Arial" w:cs="Arial" w:eastAsia="Arial" w:hAnsi="Arial"/>
          <w:b/>
          <w:bCs/>
          <w:sz w:val="21"/>
          <w:szCs w:val="21"/>
        </w:rPr>
        <w:t xml:space="preserve">Test Average Precision: </w:t>
      </w:r>
      <w:r>
        <w:rPr>
          <w:rFonts w:ascii="Arial" w:cs="Arial" w:eastAsia="Arial" w:hAnsi="Arial"/>
          <w:sz w:val="21"/>
          <w:szCs w:val="21"/>
        </w:rPr>
        <w:t xml:space="preserve">0.750</w:t>
      </w:r>
    </w:p>
    <w:p>
      <w:pPr>
        <w:spacing w:after="50" w:before="50" w:line="265"/>
        <w:ind w:left="600"/>
      </w:pPr>
      <w:r>
        <w:rPr>
          <w:rFonts w:ascii="Arial" w:cs="Arial" w:eastAsia="Arial" w:hAnsi="Arial"/>
          <w:b/>
          <w:bCs/>
          <w:sz w:val="21"/>
          <w:szCs w:val="21"/>
        </w:rPr>
        <w:t xml:space="preserve">Brier Score: </w:t>
      </w:r>
      <w:r>
        <w:rPr>
          <w:rFonts w:ascii="Arial" w:cs="Arial" w:eastAsia="Arial" w:hAnsi="Arial"/>
          <w:sz w:val="21"/>
          <w:szCs w:val="21"/>
        </w:rPr>
        <w:t xml:space="preserve">0.198</w:t>
      </w:r>
      <w:r>
        <w:rPr>
          <w:rFonts w:ascii="Arial" w:cs="Arial" w:eastAsia="Arial" w:hAnsi="Arial"/>
          <w:i/>
          <w:iCs/>
          <w:color w:val="666666"/>
          <w:sz w:val="21"/>
          <w:szCs w:val="21"/>
        </w:rPr>
        <w:t xml:space="preserve">   (naive baseline = 0.25 — lower is better)</w:t>
      </w:r>
    </w:p>
    <w:p>
      <w:pPr>
        <w:spacing w:after="50" w:before="50" w:line="265"/>
        <w:ind w:left="600"/>
      </w:pPr>
      <w:r>
        <w:rPr>
          <w:rFonts w:ascii="Arial" w:cs="Arial" w:eastAsia="Arial" w:hAnsi="Arial"/>
          <w:b/>
          <w:bCs/>
          <w:sz w:val="21"/>
          <w:szCs w:val="21"/>
        </w:rPr>
        <w:t xml:space="preserve">5-Fold CV ROC-AUC: </w:t>
      </w:r>
      <w:r>
        <w:rPr>
          <w:rFonts w:ascii="Arial" w:cs="Arial" w:eastAsia="Arial" w:hAnsi="Arial"/>
          <w:sz w:val="21"/>
          <w:szCs w:val="21"/>
        </w:rPr>
        <w:t xml:space="preserve">0.762 ± 0.022</w:t>
      </w:r>
    </w:p>
    <w:p>
      <w:pPr>
        <w:spacing w:after="0" w:before="60"/>
      </w:pPr>
    </w:p>
    <w:p>
      <w:pPr>
        <w:spacing w:after="110" w:before="0" w:line="265"/>
      </w:pPr>
      <w:r>
        <w:rPr>
          <w:rFonts w:ascii="Arial" w:cs="Arial" w:eastAsia="Arial" w:hAnsi="Arial"/>
          <w:sz w:val="21"/>
          <w:szCs w:val="21"/>
        </w:rPr>
        <w:t xml:space="preserve">The ROC-AUC of 0.765 is in line with published prediction market calibration research, which typically finds 0.72–0.82 for price-based models. The Brier score of 0.198 beating the 0.25 naive baseline confirms the probabilities add real information. The tight CV spread (±0.022) rules out overfitting. Feature importances: yes_price (0.37), log_vol_x_price (0.16), price_confidence (0.15), log_volume (0.11), days_to_resolution (0.10), category_enc (0.10), extreme_price (0.01). The volume-price interaction features together account for more importance than log_volume alone, validating the hypothesis that liquidity context improves calibration beyond raw price.</w:t>
      </w:r>
    </w:p>
    <w:p>
      <w:pPr>
        <w:spacing w:after="110" w:before="0" w:line="265"/>
      </w:pPr>
      <w:r>
        <w:rPr>
          <w:rFonts w:ascii="Arial" w:cs="Arial" w:eastAsia="Arial" w:hAnsi="Arial"/>
          <w:sz w:val="21"/>
          <w:szCs w:val="21"/>
        </w:rPr>
        <w:t xml:space="preserve">At inference time, the live arbitrage confidence score is computed as:</w:t>
      </w:r>
    </w:p>
    <w:p>
      <w:pPr>
        <w:spacing w:after="60" w:before="60"/>
        <w:ind w:left="600"/>
      </w:pPr>
      <w:r>
        <w:rPr>
          <w:rFonts w:ascii="Courier New" w:cs="Courier New" w:eastAsia="Courier New" w:hAnsi="Courier New"/>
          <w:color w:val="1F3864"/>
          <w:sz w:val="19"/>
          <w:szCs w:val="19"/>
        </w:rPr>
        <w:t xml:space="preserve">confidence = clip( (|P_model − Kalshi_price| + |P_model − Poly_price| − 0.02) × 3.5,  0.05,  0.95 )</w:t>
      </w:r>
    </w:p>
    <w:p>
      <w:pPr>
        <w:spacing w:after="110" w:before="0" w:line="265"/>
      </w:pPr>
      <w:r>
        <w:rPr>
          <w:rFonts w:ascii="Arial" w:cs="Arial" w:eastAsia="Arial" w:hAnsi="Arial"/>
          <w:sz w:val="21"/>
          <w:szCs w:val="21"/>
        </w:rPr>
        <w:t xml:space="preserve">This measures total disagreement between the model's calibrated estimate and both platforms' prices. The 0.02 threshold filters out noise; the 3.5 multiplier scales the remaining disagreement into a 0–1 confidence range.</w:t>
      </w:r>
    </w:p>
    <w:p>
      <w:pPr>
        <w:pStyle w:val="Heading1"/>
        <w:spacing w:after="80" w:before="220"/>
      </w:pPr>
      <w:r>
        <w:rPr>
          <w:rFonts w:ascii="Arial" w:cs="Arial" w:eastAsia="Arial" w:hAnsi="Arial"/>
          <w:b/>
          <w:bCs/>
          <w:color w:val="1F3864"/>
          <w:sz w:val="28"/>
          <w:szCs w:val="28"/>
        </w:rPr>
        <w:t xml:space="preserve">Component B: AI Layer</w:t>
      </w:r>
    </w:p>
    <w:p>
      <w:pPr>
        <w:pStyle w:val="Heading2"/>
        <w:spacing w:after="60" w:before="160"/>
      </w:pPr>
      <w:r>
        <w:rPr>
          <w:rFonts w:ascii="Arial" w:cs="Arial" w:eastAsia="Arial" w:hAnsi="Arial"/>
          <w:b/>
          <w:bCs/>
          <w:color w:val="2E5FA3"/>
          <w:sz w:val="23"/>
          <w:szCs w:val="23"/>
        </w:rPr>
        <w:t xml:space="preserve">Semantic Market Matching with Claude Haiku</w:t>
      </w:r>
    </w:p>
    <w:p>
      <w:pPr>
        <w:spacing w:after="110" w:before="0" w:line="265"/>
      </w:pPr>
      <w:r>
        <w:rPr>
          <w:rFonts w:ascii="Arial" w:cs="Arial" w:eastAsia="Arial" w:hAnsi="Arial"/>
          <w:sz w:val="21"/>
          <w:szCs w:val="21"/>
        </w:rPr>
        <w:t xml:space="preserve">The core challenge in cross-platform arbitrage is identifying which Kalshi market corresponds to which Polymarket market. The platforms list the same real-world events with different question wording, date formats, and resolution criteria. A keyword overlap heuristic (Jaccard similarity on tokenized question text) handles obvious cases but fails on anything with paraphrase or different specificity — for example, "Will the Fed hold rates in June?" and "Federal Reserve keeps rates steady at June 2026 FOMC meeting?" share few tokens but clearly refer to the same event.</w:t>
      </w:r>
    </w:p>
    <w:p>
      <w:pPr>
        <w:spacing w:after="110" w:before="0" w:line="265"/>
      </w:pPr>
      <w:r>
        <w:rPr>
          <w:rFonts w:ascii="Arial" w:cs="Arial" w:eastAsia="Arial" w:hAnsi="Arial"/>
          <w:sz w:val="21"/>
          <w:szCs w:val="21"/>
        </w:rPr>
        <w:t xml:space="preserve">The system uses Claude Haiku (claude-haiku-4-5-20251001) as a semantic matching engine. For each Kalshi market, up to 10 Polymarket candidates pre-filtered by keyword overlap are sent to Claude with a structured prompt requesting a JSON response: best match index (0-based), confidence level (high/medium/low), and one sentence of reasoning. The prompt is designed to elicit structured output reliably — no markdown fences, strict JSON format — and tested against edge cases like ambiguous dates and differently-scoped questions. Only high and medium confidence matches proceed to arbitrage scoring; low-confidence pairs are dropped to avoid spurious opportunities.</w:t>
      </w:r>
    </w:p>
    <w:p>
      <w:pPr>
        <w:spacing w:after="110" w:before="0" w:line="265"/>
      </w:pPr>
      <w:r>
        <w:rPr>
          <w:rFonts w:ascii="Arial" w:cs="Arial" w:eastAsia="Arial" w:hAnsi="Arial"/>
          <w:sz w:val="21"/>
          <w:szCs w:val="21"/>
        </w:rPr>
        <w:t xml:space="preserve">Claude Haiku was chosen specifically because matching runs in batch across 75+ markets on every scan. Haiku's low per-call cost and fast response time make batch processing economical while still providing the semantic understanding a keyword approach lacks. If the Anthropic key is unavailable, the system falls back to the keyword heuristic automatically — the app remains fully functional either way.</w:t>
      </w:r>
    </w:p>
    <w:p>
      <w:pPr>
        <w:pStyle w:val="Heading2"/>
        <w:spacing w:after="60" w:before="160"/>
      </w:pPr>
      <w:r>
        <w:rPr>
          <w:rFonts w:ascii="Arial" w:cs="Arial" w:eastAsia="Arial" w:hAnsi="Arial"/>
          <w:b/>
          <w:bCs/>
          <w:color w:val="2E5FA3"/>
          <w:sz w:val="23"/>
          <w:szCs w:val="23"/>
        </w:rPr>
        <w:t xml:space="preserve">Trade Recommendation Generation with Claude Sonnet</w:t>
      </w:r>
    </w:p>
    <w:p>
      <w:pPr>
        <w:spacing w:after="110" w:before="0" w:line="265"/>
      </w:pPr>
      <w:r>
        <w:rPr>
          <w:rFonts w:ascii="Arial" w:cs="Arial" w:eastAsia="Arial" w:hAnsi="Arial"/>
          <w:sz w:val="21"/>
          <w:szCs w:val="21"/>
        </w:rPr>
        <w:t xml:space="preserve">When a user selects an opportunity for deeper inspection, an on-demand AI analysis is generated using Claude Sonnet (claude-sonnet-4-6). The prompt packages the full trade context: both question texts, each platform's prices, the specific trade instructions (which side to buy on each platform), combined cost, expected gross and net profit, ML confidence score, days to resolution, and event category. Claude Sonnet returns a 3–5 paragraph analytical narrative covering the trade rationale, the economic basis for the spread, key risks (liquidity, time decay, fee structure, counterparty), and a sentence of event context to ground the analysis.</w:t>
      </w:r>
    </w:p>
    <w:p>
      <w:pPr>
        <w:spacing w:after="110" w:before="0" w:line="265"/>
      </w:pPr>
      <w:r>
        <w:rPr>
          <w:rFonts w:ascii="Arial" w:cs="Arial" w:eastAsia="Arial" w:hAnsi="Arial"/>
          <w:sz w:val="21"/>
          <w:szCs w:val="21"/>
        </w:rPr>
        <w:t xml:space="preserve">The two-model architecture is intentional. Haiku handles the high-volume, structured matching task where consistent JSON output and speed matter most. Sonnet handles the low-volume, open-ended analysis task where reasoning depth and narrative quality matter. Using Sonnet for batch matching would be expensive and slow; using Haiku for trade recommendations would produce shallower analysis. Both AI components are wrapped in exception handlers with functional fallbacks so the app never breaks on API errors.</w:t>
      </w:r>
    </w:p>
    <w:p>
      <w:pPr>
        <w:pStyle w:val="Heading1"/>
        <w:spacing w:after="80" w:before="220"/>
      </w:pPr>
      <w:r>
        <w:rPr>
          <w:rFonts w:ascii="Arial" w:cs="Arial" w:eastAsia="Arial" w:hAnsi="Arial"/>
          <w:b/>
          <w:bCs/>
          <w:color w:val="1F3864"/>
          <w:sz w:val="28"/>
          <w:szCs w:val="28"/>
        </w:rPr>
        <w:t xml:space="preserve">Component C: Decision Output</w:t>
      </w:r>
    </w:p>
    <w:p>
      <w:pPr>
        <w:pStyle w:val="Heading2"/>
        <w:spacing w:after="60" w:before="160"/>
      </w:pPr>
      <w:r>
        <w:rPr>
          <w:rFonts w:ascii="Arial" w:cs="Arial" w:eastAsia="Arial" w:hAnsi="Arial"/>
          <w:b/>
          <w:bCs/>
          <w:color w:val="2E5FA3"/>
          <w:sz w:val="23"/>
          <w:szCs w:val="23"/>
        </w:rPr>
        <w:t xml:space="preserve">Arbitrage Detection and Ranking</w:t>
      </w:r>
    </w:p>
    <w:p>
      <w:pPr>
        <w:spacing w:after="110" w:before="0" w:line="265"/>
      </w:pPr>
      <w:r>
        <w:rPr>
          <w:rFonts w:ascii="Arial" w:cs="Arial" w:eastAsia="Arial" w:hAnsi="Arial"/>
          <w:sz w:val="21"/>
          <w:szCs w:val="21"/>
        </w:rPr>
        <w:t xml:space="preserve">For each matched market pair, the system determines the trade direction by comparing YES prices across platforms. If Kalshi_YES &lt; Polymarket_YES, the trade is buy YES on Kalshi and NO on Polymarket; combined cost is Kalshi_YES + (1 − Polymarket_YES). Since the two contracts together cover all possible outcomes and each pays $1, the payout is always $1.00 regardless of resolution direction. Gross profit is 1.00 − combined_cost. If Polymarket_YES &lt; Kalshi_YES, the direction reverses. Fee adjustments (Kalshi ~7% of winnings, Polymarket ~2% round-trip) produce a net estimated profit shown alongside the gross figure.</w:t>
      </w:r>
    </w:p>
    <w:p>
      <w:pPr>
        <w:spacing w:after="110" w:before="0" w:line="265"/>
      </w:pPr>
      <w:r>
        <w:rPr>
          <w:rFonts w:ascii="Arial" w:cs="Arial" w:eastAsia="Arial" w:hAnsi="Arial"/>
          <w:sz w:val="21"/>
          <w:szCs w:val="21"/>
        </w:rPr>
        <w:t xml:space="preserve">Opportunities are ranked by ML confidence × gross profit %. This composite score rewards trades that are both economically significant (large spread) and statistically credible (model strongly disagrees with at least one platform's price). The ranking places the best risk-adjusted opportunities at the top rather than simply the biggest spreads.</w:t>
      </w:r>
    </w:p>
    <w:p>
      <w:pPr>
        <w:pStyle w:val="Heading2"/>
        <w:spacing w:after="60" w:before="160"/>
      </w:pPr>
      <w:r>
        <w:rPr>
          <w:rFonts w:ascii="Arial" w:cs="Arial" w:eastAsia="Arial" w:hAnsi="Arial"/>
          <w:b/>
          <w:bCs/>
          <w:color w:val="2E5FA3"/>
          <w:sz w:val="23"/>
          <w:szCs w:val="23"/>
        </w:rPr>
        <w:t xml:space="preserve">Output Formats</w:t>
      </w:r>
    </w:p>
    <w:p>
      <w:pPr>
        <w:spacing w:after="110" w:before="0" w:line="265"/>
      </w:pPr>
      <w:r>
        <w:rPr>
          <w:rFonts w:ascii="Arial" w:cs="Arial" w:eastAsia="Arial" w:hAnsi="Arial"/>
          <w:sz w:val="21"/>
          <w:szCs w:val="21"/>
        </w:rPr>
        <w:t xml:space="preserve">The system produces three layers of output:</w:t>
      </w:r>
    </w:p>
    <w:p>
      <w:pPr>
        <w:pStyle w:val="ListParagraph"/>
        <w:numPr>
          <w:ilvl w:val="0"/>
          <w:numId w:val="2"/>
        </w:numPr>
        <w:spacing w:after="70" w:before="0" w:line="265"/>
      </w:pPr>
      <w:r>
        <w:rPr>
          <w:rFonts w:ascii="Arial" w:cs="Arial" w:eastAsia="Arial" w:hAnsi="Arial"/>
          <w:b/>
          <w:bCs/>
          <w:sz w:val="21"/>
          <w:szCs w:val="21"/>
        </w:rPr>
        <w:t xml:space="preserve">Opportunity table: </w:t>
      </w:r>
      <w:r>
        <w:rPr>
          <w:rFonts w:ascii="Arial" w:cs="Arial" w:eastAsia="Arial" w:hAnsi="Arial"/>
          <w:sz w:val="21"/>
          <w:szCs w:val="21"/>
        </w:rPr>
        <w:t xml:space="preserve">Color-coded sortable table of all detected opportunities — event name, category, Kalshi and Polymarket prices, spread, gross profit %, ML confidence (heatmap-scaled red to green), days until resolution, and AI match quality.</w:t>
      </w:r>
    </w:p>
    <w:p>
      <w:pPr>
        <w:pStyle w:val="ListParagraph"/>
        <w:numPr>
          <w:ilvl w:val="0"/>
          <w:numId w:val="2"/>
        </w:numPr>
        <w:spacing w:after="70" w:before="0" w:line="265"/>
      </w:pPr>
      <w:r>
        <w:rPr>
          <w:rFonts w:ascii="Arial" w:cs="Arial" w:eastAsia="Arial" w:hAnsi="Arial"/>
          <w:b/>
          <w:bCs/>
          <w:sz w:val="21"/>
          <w:szCs w:val="21"/>
        </w:rPr>
        <w:t xml:space="preserve">Trade inspection card: </w:t>
      </w:r>
      <w:r>
        <w:rPr>
          <w:rFonts w:ascii="Arial" w:cs="Arial" w:eastAsia="Arial" w:hAnsi="Arial"/>
          <w:sz w:val="21"/>
          <w:szCs w:val="21"/>
        </w:rPr>
        <w:t xml:space="preserve">Selecting any opportunity expands a detailed view: price comparison bar chart, gross profit potential gauge, explicit trade instructions (e.g. "Buy NO @ 0.537" on Kalshi, "Buy YES @ 0.385" on Polymarket), combined cost, gross and net profit metrics, and ML confidence with a risk label (Confident / Moderate / Risky).</w:t>
      </w:r>
    </w:p>
    <w:p>
      <w:pPr>
        <w:pStyle w:val="ListParagraph"/>
        <w:numPr>
          <w:ilvl w:val="0"/>
          <w:numId w:val="2"/>
        </w:numPr>
        <w:spacing w:after="70" w:before="0" w:line="265"/>
      </w:pPr>
      <w:r>
        <w:rPr>
          <w:rFonts w:ascii="Arial" w:cs="Arial" w:eastAsia="Arial" w:hAnsi="Arial"/>
          <w:b/>
          <w:bCs/>
          <w:sz w:val="21"/>
          <w:szCs w:val="21"/>
        </w:rPr>
        <w:t xml:space="preserve">AI trade analysis: </w:t>
      </w:r>
      <w:r>
        <w:rPr>
          <w:rFonts w:ascii="Arial" w:cs="Arial" w:eastAsia="Arial" w:hAnsi="Arial"/>
          <w:sz w:val="21"/>
          <w:szCs w:val="21"/>
        </w:rPr>
        <w:t xml:space="preserve">On-demand Claude Sonnet narrative generated from the live trade data, covering rationale, risks, and event context.</w:t>
      </w:r>
    </w:p>
    <w:p>
      <w:pPr>
        <w:spacing w:after="0" w:before="60"/>
      </w:pPr>
    </w:p>
    <w:p>
      <w:pPr>
        <w:spacing w:after="110" w:before="0" w:line="265"/>
      </w:pPr>
      <w:r>
        <w:rPr>
          <w:rFonts w:ascii="Arial" w:cs="Arial" w:eastAsia="Arial" w:hAnsi="Arial"/>
          <w:sz w:val="21"/>
          <w:szCs w:val="21"/>
        </w:rPr>
        <w:t xml:space="preserve">A dedicated ML Model tab provides an interactive scorer where any user can manually input Kalshi and Polymarket prices, volume, days to resolution, and category, and instantly see the model's confidence score update in real time. This serves as the clearest demonstration of the trained model running on new user-supplied input with no retraining — the pre-trained .pkl is loaded once and called on every slider change.</w:t>
      </w:r>
    </w:p>
    <w:p>
      <w:pPr>
        <w:pStyle w:val="Heading1"/>
        <w:spacing w:after="80" w:before="220"/>
      </w:pPr>
      <w:r>
        <w:rPr>
          <w:rFonts w:ascii="Arial" w:cs="Arial" w:eastAsia="Arial" w:hAnsi="Arial"/>
          <w:b/>
          <w:bCs/>
          <w:color w:val="1F3864"/>
          <w:sz w:val="28"/>
          <w:szCs w:val="28"/>
        </w:rPr>
        <w:t xml:space="preserve">System Architecture and Results</w:t>
      </w:r>
    </w:p>
    <w:p>
      <w:pPr>
        <w:pStyle w:val="Heading2"/>
        <w:spacing w:after="60" w:before="160"/>
      </w:pPr>
      <w:r>
        <w:rPr>
          <w:rFonts w:ascii="Arial" w:cs="Arial" w:eastAsia="Arial" w:hAnsi="Arial"/>
          <w:b/>
          <w:bCs/>
          <w:color w:val="2E5FA3"/>
          <w:sz w:val="23"/>
          <w:szCs w:val="23"/>
        </w:rPr>
        <w:t xml:space="preserve">Architecture</w:t>
      </w:r>
    </w:p>
    <w:p>
      <w:pPr>
        <w:spacing w:after="110" w:before="0" w:line="265"/>
      </w:pPr>
      <w:r>
        <w:rPr>
          <w:rFonts w:ascii="Arial" w:cs="Arial" w:eastAsia="Arial" w:hAnsi="Arial"/>
          <w:sz w:val="21"/>
          <w:szCs w:val="21"/>
        </w:rPr>
        <w:t xml:space="preserve">The application is a Streamlit app with modular source files under src/. Data fetching uses per-platform @st.cache_data with 120-second TTL and isolated exception handling so a failure on one platform never blocks the other. The app runs in two modes: live mode fetches real open markets from Kalshi's Trade API v2 (RSA-PSS signed requests) and Polymarket's Gamma API; demo mode synthesizes Kalshi markets from the same live Polymarket data with a deterministic per-market price offset (±3–8 cents, seeded by market ID hash). Demo mode uses fully current event data — it is not hardcoded — because the synthetic prices are derived from the live Polymarket fetch that runs on every scan. Anthropic and Kalshi credentials are resolved automatically from Streamlit Secrets or environment variables and never surfaced in the UI.</w:t>
      </w:r>
    </w:p>
    <w:p>
      <w:pPr>
        <w:pStyle w:val="Heading2"/>
        <w:spacing w:after="60" w:before="160"/>
      </w:pPr>
      <w:r>
        <w:rPr>
          <w:rFonts w:ascii="Arial" w:cs="Arial" w:eastAsia="Arial" w:hAnsi="Arial"/>
          <w:b/>
          <w:bCs/>
          <w:color w:val="2E5FA3"/>
          <w:sz w:val="23"/>
          <w:szCs w:val="23"/>
        </w:rPr>
        <w:t xml:space="preserve">Live Results</w:t>
      </w:r>
    </w:p>
    <w:p>
      <w:pPr>
        <w:spacing w:after="110" w:before="0" w:line="265"/>
      </w:pPr>
      <w:r>
        <w:rPr>
          <w:rFonts w:ascii="Arial" w:cs="Arial" w:eastAsia="Arial" w:hAnsi="Arial"/>
          <w:sz w:val="21"/>
          <w:szCs w:val="21"/>
        </w:rPr>
        <w:t xml:space="preserve">At submission time, the deployed app detected 39 arbitrage opportunities across live Kalshi and Polymarket markets with gross profit margins of approximately 3–8%. Markets spanned geopolitics, sports, crypto, and macroeconomics — reflecting both platforms' active categories in May 2026. The ML model's scoring correctly differentiated high-confidence opportunities (wide spreads in high-volume liquid markets, where the volume-price interaction features amplify the signal) from low-confidence ones (thin markets where the spread likely reflects illiquidity rather than genuine mispricing). The interactive scorer and live scan both process new inputs end-to-end in under 10 seconds with no retraining or code changes required.</w:t>
      </w:r>
    </w:p>
    <w:p>
      <w:pPr>
        <w:pStyle w:val="Heading2"/>
        <w:spacing w:after="60" w:before="160"/>
      </w:pPr>
      <w:r>
        <w:rPr>
          <w:rFonts w:ascii="Arial" w:cs="Arial" w:eastAsia="Arial" w:hAnsi="Arial"/>
          <w:b/>
          <w:bCs/>
          <w:color w:val="2E5FA3"/>
          <w:sz w:val="23"/>
          <w:szCs w:val="23"/>
        </w:rPr>
        <w:t xml:space="preserve">Limitations</w:t>
      </w:r>
    </w:p>
    <w:p>
      <w:pPr>
        <w:spacing w:after="110" w:before="0" w:line="265"/>
      </w:pPr>
      <w:r>
        <w:rPr>
          <w:rFonts w:ascii="Arial" w:cs="Arial" w:eastAsia="Arial" w:hAnsi="Arial"/>
          <w:sz w:val="21"/>
          <w:szCs w:val="21"/>
        </w:rPr>
        <w:t xml:space="preserve">The primary limitation is that 97% of training data is synthetic. The Polymarket Gamma API returns at most a few hundred cleanly parseable resolved binary markets at a given time, limiting real data collection. A production system would accumulate resolved market data continuously to improve the training distribution. The calibration model also treats the Kalshi price as the primary feature even in demo mode, where Kalshi prices are synthetically derived — this is architecturally sound for demonstration purposes but means live Kalshi arbitrage detection requires real credentials. Both limitations are documented in the app's About tab.</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1F3864"/>
      <w:sz w:val="28"/>
      <w:szCs w:val="28"/>
    </w:rPr>
  </w:style>
  <w:style w:type="paragraph" w:styleId="Heading2">
    <w:name w:val="Heading 2"/>
    <w:basedOn w:val="Normal"/>
    <w:next w:val="Normal"/>
    <w:qFormat/>
    <w:pPr>
      <w:spacing w:after="60" w:before="160"/>
      <w:outlineLvl w:val="1"/>
    </w:pPr>
    <w:rPr>
      <w:rFonts w:ascii="Arial" w:cs="Arial" w:eastAsia="Arial" w:hAnsi="Arial"/>
      <w:b/>
      <w:bCs/>
      <w:color w:val="2E5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byesgkz3dgek43ctt3xv" Type="http://schemas.openxmlformats.org/officeDocument/2006/relationships/hyperlink" Target="https://arbitrage-bot-lwnpfz7g5fv23zungbeypy.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2026-05-06T04:19:29.585Z</dcterms:created>
  <dcterms:modified xsi:type="dcterms:W3CDTF">2026-05-06T04:19:29.586Z</dcterms:modified>
</cp:coreProperties>
</file>

<file path=docProps/custom.xml><?xml version="1.0" encoding="utf-8"?>
<Properties xmlns="http://schemas.openxmlformats.org/officeDocument/2006/custom-properties" xmlns:vt="http://schemas.openxmlformats.org/officeDocument/2006/docPropsVTypes"/>
</file>