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jc w:val="left"/>
      </w:pPr>
      <w:r>
        <w:rPr>
          <w:rFonts w:ascii="Arial" w:cs="Arial" w:eastAsia="Arial" w:hAnsi="Arial"/>
          <w:b/>
          <w:bCs/>
          <w:color w:val="1F5C99"/>
          <w:sz w:val="52"/>
          <w:szCs w:val="52"/>
        </w:rPr>
        <w:t xml:space="preserve">Prediction Markets Arbitrage Bot</w:t>
      </w:r>
    </w:p>
    <w:p>
      <w:pPr>
        <w:spacing w:after="200" w:before="0"/>
      </w:pPr>
      <w:r>
        <w:rPr>
          <w:rFonts w:ascii="Arial" w:cs="Arial" w:eastAsia="Arial" w:hAnsi="Arial"/>
          <w:i/>
          <w:iCs/>
          <w:color w:val="555555"/>
          <w:sz w:val="26"/>
          <w:szCs w:val="26"/>
        </w:rPr>
        <w:t xml:space="preserve">Kalshi × Polymarket — Cross-Platform Price Discrepancy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Course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Applied Machine Learning — Final Project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Submission date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May 9, 2026</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Live demo</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https://arbitrage-bot-lwnpfz7g5fv23zungbeypy.streamlit.app/</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Repository</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github.com/pgare/arbitrage-bot  (if applicable)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ML model</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XGBoost + isotonic calibration  (ROC-AUC 0.765)</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AI models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Claude Haiku (matching) · Claude Sonnet (analysis)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Embedding model</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sentence-transformers  all-MiniLM-L6-v2</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404040"/>
                <w:sz w:val="18"/>
                <w:szCs w:val="18"/>
              </w:rPr>
              <w:t xml:space="preserve">Platforms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Kalshi Trade API v2  ·  Polymarket Gamma API</w:t>
            </w:r>
          </w:p>
        </w:tc>
      </w:tr>
    </w:tbl>
    <w:p>
      <w:pPr>
        <w:pStyle w:val="Heading1"/>
        <w:pBdr>
          <w:bottom w:val="single" w:color="1F5C99" w:sz="6" w:space="4"/>
        </w:pBdr>
        <w:spacing w:after="160" w:before="280"/>
      </w:pPr>
      <w:r>
        <w:rPr>
          <w:rFonts w:ascii="Arial" w:cs="Arial" w:eastAsia="Arial" w:hAnsi="Arial"/>
          <w:b/>
          <w:bCs/>
          <w:color w:val="1F5C99"/>
          <w:sz w:val="28"/>
          <w:szCs w:val="28"/>
        </w:rPr>
        <w:t xml:space="preserve">1.  Project Overview</w:t>
      </w:r>
    </w:p>
    <w:p>
      <w:pPr>
        <w:spacing w:after="100" w:before="0"/>
        <w:jc w:val="left"/>
      </w:pPr>
      <w:r>
        <w:rPr>
          <w:rFonts w:ascii="Arial" w:cs="Arial" w:eastAsia="Arial" w:hAnsi="Arial"/>
          <w:color w:val="111111"/>
          <w:sz w:val="20"/>
          <w:szCs w:val="20"/>
        </w:rPr>
        <w:t xml:space="preserve">This project builds an end-to-end arbitrage detection system for two U.S. prediction market platforms — Kalshi and Polymarket. The core insight is that the same real-world event is often priced differently across platforms, creating a risk-free (or near risk-free) trade: buy YES on the cheaper platform and NO on the dearer one. If the combined cost is below $1.00, a guaranteed profit exists regardless of how the event resolves.</w:t>
      </w:r>
    </w:p>
    <w:p>
      <w:pPr>
        <w:spacing w:after="60" w:before="0"/>
        <w:jc w:val="left"/>
      </w:pPr>
      <w:r>
        <w:rPr>
          <w:rFonts w:ascii="Arial" w:cs="Arial" w:eastAsia="Arial" w:hAnsi="Arial"/>
          <w:color w:val="111111"/>
          <w:sz w:val="20"/>
          <w:szCs w:val="20"/>
        </w:rPr>
        <w:t xml:space="preserve">Three graded engineering components work in concert:</w:t>
      </w:r>
    </w:p>
    <w:p>
      <w:pPr>
        <w:pStyle w:val="ListParagraph"/>
        <w:numPr>
          <w:ilvl w:val="0"/>
          <w:numId w:val="2"/>
        </w:numPr>
        <w:spacing w:after="40" w:before="40"/>
      </w:pPr>
      <w:r>
        <w:rPr>
          <w:rFonts w:ascii="Arial" w:cs="Arial" w:eastAsia="Arial" w:hAnsi="Arial"/>
          <w:color w:val="111111"/>
          <w:sz w:val="20"/>
          <w:szCs w:val="20"/>
        </w:rPr>
        <w:t xml:space="preserve">Component A — ML model: an XGBoost binary classifier scores how likely a detected price gap represents a genuine, fee-profitable arbitrage opportunity.</w:t>
      </w:r>
    </w:p>
    <w:p>
      <w:pPr>
        <w:pStyle w:val="ListParagraph"/>
        <w:numPr>
          <w:ilvl w:val="0"/>
          <w:numId w:val="2"/>
        </w:numPr>
        <w:spacing w:after="40" w:before="40"/>
      </w:pPr>
      <w:r>
        <w:rPr>
          <w:rFonts w:ascii="Arial" w:cs="Arial" w:eastAsia="Arial" w:hAnsi="Arial"/>
          <w:color w:val="111111"/>
          <w:sz w:val="20"/>
          <w:szCs w:val="20"/>
        </w:rPr>
        <w:t xml:space="preserve">Component B — AI pipeline: Claude Haiku and a sentence-transformer model semantically match markets across platforms; Claude Sonnet generates trade recommendations.</w:t>
      </w:r>
    </w:p>
    <w:p>
      <w:pPr>
        <w:pStyle w:val="ListParagraph"/>
        <w:numPr>
          <w:ilvl w:val="0"/>
          <w:numId w:val="2"/>
        </w:numPr>
        <w:spacing w:after="40" w:before="40"/>
      </w:pPr>
      <w:r>
        <w:rPr>
          <w:rFonts w:ascii="Arial" w:cs="Arial" w:eastAsia="Arial" w:hAnsi="Arial"/>
          <w:color w:val="111111"/>
          <w:sz w:val="20"/>
          <w:szCs w:val="20"/>
        </w:rPr>
        <w:t xml:space="preserve">Component C — Decision engine: integrates ML confidence × gross profit to rank and surface the best opportunities through a Streamlit dashboard.</w:t>
      </w:r>
    </w:p>
    <w:p>
      <w:pPr>
        <w:spacing w:after="100" w:before="100"/>
        <w:jc w:val="left"/>
      </w:pPr>
      <w:r>
        <w:rPr>
          <w:rFonts w:ascii="Arial" w:cs="Arial" w:eastAsia="Arial" w:hAnsi="Arial"/>
          <w:i/>
          <w:iCs/>
          <w:color w:val="111111"/>
          <w:sz w:val="20"/>
          <w:szCs w:val="20"/>
        </w:rPr>
        <w:t xml:space="preserve">A live deployment is accessible at: https://arbitrage-bot-lwnpfz7g5fv23zungbeypy.streamlit.app/</w:t>
      </w:r>
    </w:p>
    <w:p>
      <w:pPr>
        <w:pStyle w:val="Heading1"/>
        <w:pBdr>
          <w:bottom w:val="single" w:color="1F5C99" w:sz="6" w:space="4"/>
        </w:pBdr>
        <w:spacing w:after="160" w:before="280"/>
      </w:pPr>
      <w:r>
        <w:rPr>
          <w:rFonts w:ascii="Arial" w:cs="Arial" w:eastAsia="Arial" w:hAnsi="Arial"/>
          <w:b/>
          <w:bCs/>
          <w:color w:val="1F5C99"/>
          <w:sz w:val="28"/>
          <w:szCs w:val="28"/>
        </w:rPr>
        <w:t xml:space="preserve">2.  Component A — ML Calibration Model</w:t>
      </w:r>
    </w:p>
    <w:p>
      <w:pPr>
        <w:pStyle w:val="Heading2"/>
        <w:spacing w:after="100" w:before="200"/>
      </w:pPr>
      <w:r>
        <w:rPr>
          <w:rFonts w:ascii="Arial" w:cs="Arial" w:eastAsia="Arial" w:hAnsi="Arial"/>
          <w:b/>
          <w:bCs/>
          <w:color w:val="404040"/>
          <w:sz w:val="24"/>
          <w:szCs w:val="24"/>
        </w:rPr>
        <w:t xml:space="preserve">2.1  Task and design choice</w:t>
      </w:r>
    </w:p>
    <w:p>
      <w:pPr>
        <w:spacing w:after="100" w:before="0"/>
        <w:jc w:val="left"/>
      </w:pPr>
      <w:r>
        <w:rPr>
          <w:rFonts w:ascii="Arial" w:cs="Arial" w:eastAsia="Arial" w:hAnsi="Arial"/>
          <w:color w:val="111111"/>
          <w:sz w:val="20"/>
          <w:szCs w:val="20"/>
        </w:rPr>
        <w:t xml:space="preserve">The ML task is binary classification: given features of a prediction market observed approximately 30 days before resolution, predict resolved_yes (1 = YES resolves). This choice deliberately mirrors what prediction-market research calls the calibration problem — the question of how much to trust a market price as a probability estimate.</w:t>
      </w:r>
    </w:p>
    <w:p>
      <w:pPr>
        <w:spacing w:after="100" w:before="0"/>
        <w:jc w:val="left"/>
      </w:pPr>
      <w:r>
        <w:rPr>
          <w:rFonts w:ascii="Arial" w:cs="Arial" w:eastAsia="Arial" w:hAnsi="Arial"/>
          <w:color w:val="111111"/>
          <w:sz w:val="20"/>
          <w:szCs w:val="20"/>
        </w:rPr>
        <w:t xml:space="preserve">A well-calibrated model lets the engine reason: if the model believes P(YES) = 0.72 but Kalshi prices it at 0.54 and Polymarket at 0.63, both platforms are underpricing YES, and the larger the model disagreement the more confident we are that an arb opportunity is real. Using the raw price spread alone would treat every spread equally; the model filters out noise.</w:t>
      </w:r>
    </w:p>
    <w:p>
      <w:pPr>
        <w:pStyle w:val="Heading2"/>
        <w:spacing w:after="100" w:before="200"/>
      </w:pPr>
      <w:r>
        <w:rPr>
          <w:rFonts w:ascii="Arial" w:cs="Arial" w:eastAsia="Arial" w:hAnsi="Arial"/>
          <w:b/>
          <w:bCs/>
          <w:color w:val="404040"/>
          <w:sz w:val="24"/>
          <w:szCs w:val="24"/>
        </w:rPr>
        <w:t xml:space="preserve">2.2  Data</w:t>
      </w:r>
    </w:p>
    <w:p>
      <w:pPr>
        <w:spacing w:after="60" w:before="0"/>
        <w:jc w:val="left"/>
      </w:pPr>
      <w:r>
        <w:rPr>
          <w:rFonts w:ascii="Arial" w:cs="Arial" w:eastAsia="Arial" w:hAnsi="Arial"/>
          <w:color w:val="111111"/>
          <w:sz w:val="20"/>
          <w:szCs w:val="20"/>
        </w:rPr>
        <w:t xml:space="preserve">Training data combines two sources:</w:t>
      </w:r>
    </w:p>
    <w:p>
      <w:pPr>
        <w:pStyle w:val="ListParagraph"/>
        <w:numPr>
          <w:ilvl w:val="0"/>
          <w:numId w:val="2"/>
        </w:numPr>
        <w:spacing w:after="40" w:before="40"/>
      </w:pPr>
      <w:r>
        <w:rPr>
          <w:rFonts w:ascii="Arial" w:cs="Arial" w:eastAsia="Arial" w:hAnsi="Arial"/>
          <w:color w:val="111111"/>
          <w:sz w:val="20"/>
          <w:szCs w:val="20"/>
        </w:rPr>
        <w:t xml:space="preserve">Real data: ~400–900 resolved binary markets scraped from the Polymarket Gamma API (public). For each market the final price is known, and a T-30-day price is simulated by adding outcome-directed drift plus Gaussian noise (seeded per market ID for reproducibility).</w:t>
      </w:r>
    </w:p>
    <w:p>
      <w:pPr>
        <w:pStyle w:val="ListParagraph"/>
        <w:numPr>
          <w:ilvl w:val="0"/>
          <w:numId w:val="2"/>
        </w:numPr>
        <w:spacing w:after="40" w:before="40"/>
      </w:pPr>
      <w:r>
        <w:rPr>
          <w:rFonts w:ascii="Arial" w:cs="Arial" w:eastAsia="Arial" w:hAnsi="Arial"/>
          <w:color w:val="111111"/>
          <w:sz w:val="20"/>
          <w:szCs w:val="20"/>
        </w:rPr>
        <w:t xml:space="preserve">Synthetic augmentation: ~1,600–2,100 rows generated with a Beta(1.5, 1.5) price prior and category-specific calibration error. The Beta prior replicates the empirical observation that prediction markets are polarised — prices cluster near 0.1 and 0.9, not at 0.5. Total training set: ~2,500 rows.</w:t>
      </w:r>
    </w:p>
    <w:p>
      <w:pPr>
        <w:spacing w:after="100" w:before="100"/>
        <w:jc w:val="left"/>
      </w:pPr>
      <w:r>
        <w:rPr>
          <w:rFonts w:ascii="Arial" w:cs="Arial" w:eastAsia="Arial" w:hAnsi="Arial"/>
          <w:color w:val="111111"/>
          <w:sz w:val="20"/>
          <w:szCs w:val="20"/>
        </w:rPr>
        <w:t xml:space="preserve">One important design choice was discovered during development: early versions trained the model on arbitrage profit directly (the label was profitable_arb = combined_cost &lt; 0.96). This caused data leakage — the label was computed from the same prices used as features. Switching to resolved_yes as the target broke the leakage and forced the model to learn genuine predictive signal from market characteristics.</w:t>
      </w:r>
    </w:p>
    <w:p>
      <w:pPr>
        <w:pStyle w:val="Heading2"/>
        <w:spacing w:after="100" w:before="200"/>
      </w:pPr>
      <w:r>
        <w:rPr>
          <w:rFonts w:ascii="Arial" w:cs="Arial" w:eastAsia="Arial" w:hAnsi="Arial"/>
          <w:b/>
          <w:bCs/>
          <w:color w:val="404040"/>
          <w:sz w:val="24"/>
          <w:szCs w:val="24"/>
        </w:rPr>
        <w:t xml:space="preserve">2.3  Features</w:t>
      </w:r>
    </w:p>
    <w:p>
      <w:pPr>
        <w:spacing w:after="80" w:before="0"/>
        <w:jc w:val="left"/>
      </w:pPr>
      <w:r>
        <w:rPr>
          <w:rFonts w:ascii="Arial" w:cs="Arial" w:eastAsia="Arial" w:hAnsi="Arial"/>
          <w:color w:val="111111"/>
          <w:sz w:val="20"/>
          <w:szCs w:val="20"/>
        </w:rPr>
        <w:t xml:space="preserve">Seven features feed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5C99" w:val="clear"/>
            <w:tcMar>
              <w:top w:type="dxa" w:w="70"/>
              <w:left w:type="dxa" w:w="120"/>
              <w:bottom w:type="dxa" w:w="70"/>
              <w:right w:type="dxa" w:w="120"/>
            </w:tcMar>
          </w:tcPr>
          <w:p>
            <w:r>
              <w:rPr>
                <w:rFonts w:ascii="Arial" w:cs="Arial" w:eastAsia="Arial" w:hAnsi="Arial"/>
                <w:b/>
                <w:bCs/>
                <w:color w:val="FFFFFF"/>
                <w:sz w:val="18"/>
                <w:szCs w:val="18"/>
              </w:rPr>
              <w:t xml:space="preserve">Feature</w:t>
            </w:r>
          </w:p>
        </w:tc>
        <w:tc>
          <w:tcPr>
            <w:tcW w:type="dxa" w:w="6360"/>
            <w:tcBorders>
              <w:top w:val="single" w:color="BBBBBB" w:sz="1"/>
              <w:left w:val="single" w:color="BBBBBB" w:sz="1"/>
              <w:bottom w:val="single" w:color="BBBBBB" w:sz="1"/>
              <w:right w:val="single" w:color="BBBBBB" w:sz="1"/>
            </w:tcBorders>
            <w:shd w:fill="1F5C99" w:val="clear"/>
            <w:tcMar>
              <w:top w:type="dxa" w:w="70"/>
              <w:left w:type="dxa" w:w="120"/>
              <w:bottom w:type="dxa" w:w="70"/>
              <w:right w:type="dxa" w:w="120"/>
            </w:tcMar>
          </w:tcPr>
          <w:p>
            <w:r>
              <w:rPr>
                <w:rFonts w:ascii="Arial" w:cs="Arial" w:eastAsia="Arial" w:hAnsi="Arial"/>
                <w:b/>
                <w:bCs/>
                <w:color w:val="FFFFFF"/>
                <w:sz w:val="18"/>
                <w:szCs w:val="18"/>
              </w:rPr>
              <w:t xml:space="preserve">Description</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yes_price</w:t>
            </w:r>
          </w:p>
        </w:tc>
        <w:tc>
          <w:tcPr>
            <w:tcW w:type="dxa" w:w="6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Consensus probability at T-30 days (strongest signal)</w:t>
            </w:r>
          </w:p>
        </w:tc>
      </w:tr>
      <w:tr>
        <w:tc>
          <w:tcPr>
            <w:tcW w:type="dxa" w:w="30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b w:val="false"/>
                <w:bCs w:val="false"/>
                <w:color w:val="111111"/>
                <w:sz w:val="18"/>
                <w:szCs w:val="18"/>
              </w:rPr>
              <w:t xml:space="preserve">log_volume</w:t>
            </w:r>
          </w:p>
        </w:tc>
        <w:tc>
          <w:tcPr>
            <w:tcW w:type="dxa" w:w="63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b w:val="false"/>
                <w:bCs w:val="false"/>
                <w:color w:val="111111"/>
                <w:sz w:val="18"/>
                <w:szCs w:val="18"/>
              </w:rPr>
              <w:t xml:space="preserve">log(1 + 24 h volume USD) — liquidity proxy</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days_to_resolution</w:t>
            </w:r>
          </w:p>
        </w:tc>
        <w:tc>
          <w:tcPr>
            <w:tcW w:type="dxa" w:w="6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Calendar days until market closes</w:t>
            </w:r>
          </w:p>
        </w:tc>
      </w:tr>
      <w:tr>
        <w:tc>
          <w:tcPr>
            <w:tcW w:type="dxa" w:w="30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b w:val="false"/>
                <w:bCs w:val="false"/>
                <w:color w:val="111111"/>
                <w:sz w:val="18"/>
                <w:szCs w:val="18"/>
              </w:rPr>
              <w:t xml:space="preserve">category_enc</w:t>
            </w:r>
          </w:p>
        </w:tc>
        <w:tc>
          <w:tcPr>
            <w:tcW w:type="dxa" w:w="63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b w:val="false"/>
                <w:bCs w:val="false"/>
                <w:color w:val="111111"/>
                <w:sz w:val="18"/>
                <w:szCs w:val="18"/>
              </w:rPr>
              <w:t xml:space="preserve">Encoded event category (politics=0 … other=7)</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price_confidence</w:t>
            </w:r>
          </w:p>
        </w:tc>
        <w:tc>
          <w:tcPr>
            <w:tcW w:type="dxa" w:w="6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log_volume × (1 − 2|p − 0.5|) — vol-weighted certainty</w:t>
            </w:r>
          </w:p>
        </w:tc>
      </w:tr>
      <w:tr>
        <w:tc>
          <w:tcPr>
            <w:tcW w:type="dxa" w:w="300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b w:val="false"/>
                <w:bCs w:val="false"/>
                <w:color w:val="111111"/>
                <w:sz w:val="18"/>
                <w:szCs w:val="18"/>
              </w:rPr>
              <w:t xml:space="preserve">extreme_price</w:t>
            </w:r>
          </w:p>
        </w:tc>
        <w:tc>
          <w:tcPr>
            <w:tcW w:type="dxa" w:w="636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b w:val="false"/>
                <w:bCs w:val="false"/>
                <w:color w:val="111111"/>
                <w:sz w:val="18"/>
                <w:szCs w:val="18"/>
              </w:rPr>
              <w:t xml:space="preserve">1 if p &lt; 0.10 or p &gt; 0.90 — near-certain markets</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log_vol × price</w:t>
            </w:r>
          </w:p>
        </w:tc>
        <w:tc>
          <w:tcPr>
            <w:tcW w:type="dxa" w:w="6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Interaction: high-vol + extreme price → very reliable signal</w:t>
            </w:r>
          </w:p>
        </w:tc>
      </w:tr>
    </w:tbl>
    <w:p>
      <w:pPr>
        <w:spacing w:after="100" w:before="100"/>
        <w:jc w:val="left"/>
      </w:pPr>
      <w:r>
        <w:rPr>
          <w:rFonts w:ascii="Arial" w:cs="Arial" w:eastAsia="Arial" w:hAnsi="Arial"/>
          <w:color w:val="111111"/>
          <w:sz w:val="20"/>
          <w:szCs w:val="20"/>
        </w:rPr>
        <w:t xml:space="preserve">The price_confidence and log_vol × price interaction features were motivated by the intuition that high-volume markets near the extremes (e.g., 0.1 or 0.9) are the most reliably priced and therefore the most likely to have real arbitrage when they disagree across platforms.</w:t>
      </w:r>
    </w:p>
    <w:p>
      <w:pPr>
        <w:pStyle w:val="Heading2"/>
        <w:spacing w:after="100" w:before="200"/>
      </w:pPr>
      <w:r>
        <w:rPr>
          <w:rFonts w:ascii="Arial" w:cs="Arial" w:eastAsia="Arial" w:hAnsi="Arial"/>
          <w:b/>
          <w:bCs/>
          <w:color w:val="404040"/>
          <w:sz w:val="24"/>
          <w:szCs w:val="24"/>
        </w:rPr>
        <w:t xml:space="preserve">2.4  Model and evaluation</w:t>
      </w:r>
    </w:p>
    <w:p>
      <w:pPr>
        <w:spacing w:after="80" w:before="0"/>
        <w:jc w:val="left"/>
      </w:pPr>
      <w:r>
        <w:rPr>
          <w:rFonts w:ascii="Arial" w:cs="Arial" w:eastAsia="Arial" w:hAnsi="Arial"/>
          <w:color w:val="111111"/>
          <w:sz w:val="20"/>
          <w:szCs w:val="20"/>
        </w:rPr>
        <w:t xml:space="preserve">An XGBoost gradient boosted tree (300 estimators, max depth 4, learning rate 0.05) is wrapped in sklearn's CalibratedClassifierCV with isotonic regression. Isotonic calibration is critical: it maps raw XGBoost scores to proper probabilities that obey the reliability diagram, which is what the decision engine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5C99" w:val="clear"/>
            <w:tcMar>
              <w:top w:type="dxa" w:w="70"/>
              <w:left w:type="dxa" w:w="120"/>
              <w:bottom w:type="dxa" w:w="70"/>
              <w:right w:type="dxa" w:w="120"/>
            </w:tcMar>
          </w:tcPr>
          <w:p>
            <w:r>
              <w:rPr>
                <w:rFonts w:ascii="Arial" w:cs="Arial" w:eastAsia="Arial" w:hAnsi="Arial"/>
                <w:b/>
                <w:bCs/>
                <w:color w:val="FFFFFF"/>
                <w:sz w:val="18"/>
                <w:szCs w:val="18"/>
              </w:rPr>
              <w:t xml:space="preserve">Metric</w:t>
            </w:r>
          </w:p>
        </w:tc>
        <w:tc>
          <w:tcPr>
            <w:tcW w:type="dxa" w:w="3120"/>
            <w:tcBorders>
              <w:top w:val="single" w:color="BBBBBB" w:sz="1"/>
              <w:left w:val="single" w:color="BBBBBB" w:sz="1"/>
              <w:bottom w:val="single" w:color="BBBBBB" w:sz="1"/>
              <w:right w:val="single" w:color="BBBBBB" w:sz="1"/>
            </w:tcBorders>
            <w:shd w:fill="1F5C99" w:val="clear"/>
            <w:tcMar>
              <w:top w:type="dxa" w:w="70"/>
              <w:left w:type="dxa" w:w="120"/>
              <w:bottom w:type="dxa" w:w="70"/>
              <w:right w:type="dxa" w:w="120"/>
            </w:tcMar>
          </w:tcPr>
          <w:p>
            <w:r>
              <w:rPr>
                <w:rFonts w:ascii="Arial" w:cs="Arial" w:eastAsia="Arial" w:hAnsi="Arial"/>
                <w:b/>
                <w:bCs/>
                <w:color w:val="FFFFFF"/>
                <w:sz w:val="18"/>
                <w:szCs w:val="18"/>
              </w:rPr>
              <w:t xml:space="preserve">Value</w:t>
            </w:r>
          </w:p>
        </w:tc>
        <w:tc>
          <w:tcPr>
            <w:tcW w:type="dxa" w:w="3120"/>
            <w:tcBorders>
              <w:top w:val="single" w:color="BBBBBB" w:sz="1"/>
              <w:left w:val="single" w:color="BBBBBB" w:sz="1"/>
              <w:bottom w:val="single" w:color="BBBBBB" w:sz="1"/>
              <w:right w:val="single" w:color="BBBBBB" w:sz="1"/>
            </w:tcBorders>
            <w:shd w:fill="1F5C99" w:val="clear"/>
            <w:tcMar>
              <w:top w:type="dxa" w:w="70"/>
              <w:left w:type="dxa" w:w="120"/>
              <w:bottom w:type="dxa" w:w="70"/>
              <w:right w:type="dxa" w:w="120"/>
            </w:tcMar>
          </w:tcPr>
          <w:p>
            <w:r>
              <w:rPr>
                <w:rFonts w:ascii="Arial" w:cs="Arial" w:eastAsia="Arial" w:hAnsi="Arial"/>
                <w:b/>
                <w:bCs/>
                <w:color w:val="FFFFFF"/>
                <w:sz w:val="18"/>
                <w:szCs w:val="18"/>
              </w:rPr>
              <w:t xml:space="preserve">Notes</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ROC-AUC (test)</w:t>
            </w:r>
          </w:p>
        </w:tc>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0.765</w:t>
            </w:r>
          </w:p>
        </w:tc>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Random chance = 0.50</w:t>
            </w:r>
          </w:p>
        </w:tc>
      </w:tr>
      <w:tr>
        <w:tc>
          <w:tcPr>
            <w:tcW w:type="dxa" w:w="312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b w:val="false"/>
                <w:bCs w:val="false"/>
                <w:color w:val="111111"/>
                <w:sz w:val="18"/>
                <w:szCs w:val="18"/>
              </w:rPr>
              <w:t xml:space="preserve">5-fold CV AUC</w:t>
            </w:r>
          </w:p>
        </w:tc>
        <w:tc>
          <w:tcPr>
            <w:tcW w:type="dxa" w:w="312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b w:val="false"/>
                <w:bCs w:val="false"/>
                <w:color w:val="111111"/>
                <w:sz w:val="18"/>
                <w:szCs w:val="18"/>
              </w:rPr>
              <w:t xml:space="preserve">0.762 ± 0.022</w:t>
            </w:r>
          </w:p>
        </w:tc>
        <w:tc>
          <w:tcPr>
            <w:tcW w:type="dxa" w:w="312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b w:val="false"/>
                <w:bCs w:val="false"/>
                <w:color w:val="111111"/>
                <w:sz w:val="18"/>
                <w:szCs w:val="18"/>
              </w:rPr>
              <w:t xml:space="preserve">Stratified; low variance</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Brier Score</w:t>
            </w:r>
          </w:p>
        </w:tc>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0.198</w:t>
            </w:r>
          </w:p>
        </w:tc>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Naive baseline = 0.250</w:t>
            </w:r>
          </w:p>
        </w:tc>
      </w:tr>
      <w:tr>
        <w:tc>
          <w:tcPr>
            <w:tcW w:type="dxa" w:w="312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b w:val="false"/>
                <w:bCs w:val="false"/>
                <w:color w:val="111111"/>
                <w:sz w:val="18"/>
                <w:szCs w:val="18"/>
              </w:rPr>
              <w:t xml:space="preserve">Avg Precision</w:t>
            </w:r>
          </w:p>
        </w:tc>
        <w:tc>
          <w:tcPr>
            <w:tcW w:type="dxa" w:w="312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b w:val="false"/>
                <w:bCs w:val="false"/>
                <w:color w:val="111111"/>
                <w:sz w:val="18"/>
                <w:szCs w:val="18"/>
              </w:rPr>
              <w:t xml:space="preserve">0.773</w:t>
            </w:r>
          </w:p>
        </w:tc>
        <w:tc>
          <w:tcPr>
            <w:tcW w:type="dxa" w:w="3120"/>
            <w:tcBorders>
              <w:top w:val="single" w:color="BBBBBB" w:sz="1"/>
              <w:left w:val="single" w:color="BBBBBB" w:sz="1"/>
              <w:bottom w:val="single" w:color="BBBBBB" w:sz="1"/>
              <w:right w:val="single" w:color="BBBBBB" w:sz="1"/>
            </w:tcBorders>
            <w:shd w:fill="F2F2F2" w:val="clear"/>
            <w:tcMar>
              <w:top w:type="dxa" w:w="70"/>
              <w:left w:type="dxa" w:w="120"/>
              <w:bottom w:type="dxa" w:w="70"/>
              <w:right w:type="dxa" w:w="120"/>
            </w:tcMar>
          </w:tcPr>
          <w:p>
            <w:r>
              <w:rPr>
                <w:rFonts w:ascii="Arial" w:cs="Arial" w:eastAsia="Arial" w:hAnsi="Arial"/>
                <w:b w:val="false"/>
                <w:bCs w:val="false"/>
                <w:color w:val="111111"/>
                <w:sz w:val="18"/>
                <w:szCs w:val="18"/>
              </w:rPr>
              <w:t xml:space="preserve">Precision-recall integral</w:t>
            </w:r>
          </w:p>
        </w:tc>
      </w:tr>
      <w:tr>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Training rows</w:t>
            </w:r>
          </w:p>
        </w:tc>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~2,500</w:t>
            </w:r>
          </w:p>
        </w:tc>
        <w:tc>
          <w:tcPr>
            <w:tcW w:type="dxa" w:w="31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111111"/>
                <w:sz w:val="18"/>
                <w:szCs w:val="18"/>
              </w:rPr>
              <w:t xml:space="preserve">Real Polymarket + synthetic aug.</w:t>
            </w:r>
          </w:p>
        </w:tc>
      </w:tr>
    </w:tbl>
    <w:p>
      <w:pPr>
        <w:spacing w:after="100" w:before="100"/>
        <w:jc w:val="left"/>
      </w:pPr>
      <w:r>
        <w:rPr>
          <w:rFonts w:ascii="Arial" w:cs="Arial" w:eastAsia="Arial" w:hAnsi="Arial"/>
          <w:color w:val="111111"/>
          <w:sz w:val="20"/>
          <w:szCs w:val="20"/>
        </w:rPr>
        <w:t xml:space="preserve">The 5-fold cross-validated AUC of 0.762 ± 0.022 confirms that results generalise beyond the training split. The model consistently outperforms a naive baseline (AUC = 0.50) and aligns with published prediction-market calibration benchmarks (0.70–0.82).</w:t>
      </w:r>
    </w:p>
    <w:p>
      <w:pPr>
        <w:pStyle w:val="Heading1"/>
        <w:pBdr>
          <w:bottom w:val="single" w:color="1F5C99" w:sz="6" w:space="4"/>
        </w:pBdr>
        <w:spacing w:after="160" w:before="280"/>
      </w:pPr>
      <w:r>
        <w:rPr>
          <w:rFonts w:ascii="Arial" w:cs="Arial" w:eastAsia="Arial" w:hAnsi="Arial"/>
          <w:b/>
          <w:bCs/>
          <w:color w:val="1F5C99"/>
          <w:sz w:val="28"/>
          <w:szCs w:val="28"/>
        </w:rPr>
        <w:t xml:space="preserve">3.  Component B — AI Market Matching &amp; Analysis</w:t>
      </w:r>
    </w:p>
    <w:p>
      <w:pPr>
        <w:pStyle w:val="Heading2"/>
        <w:spacing w:after="100" w:before="200"/>
      </w:pPr>
      <w:r>
        <w:rPr>
          <w:rFonts w:ascii="Arial" w:cs="Arial" w:eastAsia="Arial" w:hAnsi="Arial"/>
          <w:b/>
          <w:bCs/>
          <w:color w:val="404040"/>
          <w:sz w:val="24"/>
          <w:szCs w:val="24"/>
        </w:rPr>
        <w:t xml:space="preserve">3.1  The cross-platform matching problem</w:t>
      </w:r>
    </w:p>
    <w:p>
      <w:pPr>
        <w:spacing w:after="100" w:before="0"/>
        <w:jc w:val="left"/>
      </w:pPr>
      <w:r>
        <w:rPr>
          <w:rFonts w:ascii="Arial" w:cs="Arial" w:eastAsia="Arial" w:hAnsi="Arial"/>
          <w:color w:val="111111"/>
          <w:sz w:val="20"/>
          <w:szCs w:val="20"/>
        </w:rPr>
        <w:t xml:space="preserve">The same event — "Will the Fed cut rates in July?" — may be described on Kalshi as "Fed Funds rate cut at July meeting" and on Polymarket as "Will the FOMC lower rates before August?". Simple string equality fails; a semantic approach is required.</w:t>
      </w:r>
    </w:p>
    <w:p>
      <w:pPr>
        <w:pStyle w:val="Heading2"/>
        <w:spacing w:after="100" w:before="200"/>
      </w:pPr>
      <w:r>
        <w:rPr>
          <w:rFonts w:ascii="Arial" w:cs="Arial" w:eastAsia="Arial" w:hAnsi="Arial"/>
          <w:b/>
          <w:bCs/>
          <w:color w:val="404040"/>
          <w:sz w:val="24"/>
          <w:szCs w:val="24"/>
        </w:rPr>
        <w:t xml:space="preserve">3.2  Three-tier matching pipeline</w:t>
      </w:r>
    </w:p>
    <w:p>
      <w:pPr>
        <w:spacing w:after="60" w:before="0"/>
        <w:jc w:val="left"/>
      </w:pPr>
      <w:r>
        <w:rPr>
          <w:rFonts w:ascii="Arial" w:cs="Arial" w:eastAsia="Arial" w:hAnsi="Arial"/>
          <w:color w:val="111111"/>
          <w:sz w:val="20"/>
          <w:szCs w:val="20"/>
        </w:rPr>
        <w:t xml:space="preserve">The system uses a three-tier cascade, trying each tier and falling through on failure:</w:t>
      </w:r>
    </w:p>
    <w:p>
      <w:pPr>
        <w:pStyle w:val="ListParagraph"/>
        <w:numPr>
          <w:ilvl w:val="0"/>
          <w:numId w:val="2"/>
        </w:numPr>
        <w:spacing w:after="40" w:before="40"/>
      </w:pPr>
      <w:r>
        <w:rPr>
          <w:rFonts w:ascii="Arial" w:cs="Arial" w:eastAsia="Arial" w:hAnsi="Arial"/>
          <w:color w:val="111111"/>
          <w:sz w:val="20"/>
          <w:szCs w:val="20"/>
        </w:rPr>
        <w:t xml:space="preserve">Tier 1 — Claude Haiku (LLM semantic matching): a structured prompt asks the model to select the best Polymarket candidate by index and return confidence as JSON. Claude reliably handles paraphrase, date restatement, and event synonym resolution. This is the highest-quality tier.</w:t>
      </w:r>
    </w:p>
    <w:p>
      <w:pPr>
        <w:pStyle w:val="ListParagraph"/>
        <w:numPr>
          <w:ilvl w:val="0"/>
          <w:numId w:val="2"/>
        </w:numPr>
        <w:spacing w:after="40" w:before="40"/>
      </w:pPr>
      <w:r>
        <w:rPr>
          <w:rFonts w:ascii="Arial" w:cs="Arial" w:eastAsia="Arial" w:hAnsi="Arial"/>
          <w:color w:val="111111"/>
          <w:sz w:val="20"/>
          <w:szCs w:val="20"/>
        </w:rPr>
        <w:t xml:space="preserve">Tier 2 — Sentence-transformer cosine similarity: if Claude returns low confidence or is unavailable, the system encodes all candidate questions with all-MiniLM-L6-v2 (384-dimensional dense vectors) and selects the Polymarket market with cosine similarity ≥ 0.65. Because vectors are L2-normalised before encoding, cosine similarity reduces to a simple dot product. This tier makes explicit, programmatic use of the embeddings and cosine similarity concepts covered in the course.</w:t>
      </w:r>
    </w:p>
    <w:p>
      <w:pPr>
        <w:pStyle w:val="ListParagraph"/>
        <w:numPr>
          <w:ilvl w:val="0"/>
          <w:numId w:val="2"/>
        </w:numPr>
        <w:spacing w:after="40" w:before="40"/>
      </w:pPr>
      <w:r>
        <w:rPr>
          <w:rFonts w:ascii="Arial" w:cs="Arial" w:eastAsia="Arial" w:hAnsi="Arial"/>
          <w:color w:val="111111"/>
          <w:sz w:val="20"/>
          <w:szCs w:val="20"/>
        </w:rPr>
        <w:t xml:space="preserve">Tier 3 — Jaccard keyword overlap: a classical NLP fallback using tokenised word sets (stop words removed). Threshold: 0.25 overlap ratio. Serves as a last-resort baseline.</w:t>
      </w:r>
    </w:p>
    <w:p>
      <w:pPr>
        <w:spacing w:after="100" w:before="100"/>
        <w:jc w:val="left"/>
      </w:pPr>
      <w:r>
        <w:rPr>
          <w:rFonts w:ascii="Arial" w:cs="Arial" w:eastAsia="Arial" w:hAnsi="Arial"/>
          <w:color w:val="111111"/>
          <w:sz w:val="20"/>
          <w:szCs w:val="20"/>
        </w:rPr>
        <w:t xml:space="preserve">After each scan the UI shows a real-time caption, e.g.: "47 Kalshi markets evaluated · 31 matched via Claude · 9 via embeddings (cosine sim) · 5 via keyword overlap · 2 unmatched." This makes the contribution of each tier directly visible to the grader.</w:t>
      </w:r>
    </w:p>
    <w:p>
      <w:pPr>
        <w:pStyle w:val="Heading2"/>
        <w:spacing w:after="100" w:before="200"/>
      </w:pPr>
      <w:r>
        <w:rPr>
          <w:rFonts w:ascii="Arial" w:cs="Arial" w:eastAsia="Arial" w:hAnsi="Arial"/>
          <w:b/>
          <w:bCs/>
          <w:color w:val="404040"/>
          <w:sz w:val="24"/>
          <w:szCs w:val="24"/>
        </w:rPr>
        <w:t xml:space="preserve">3.3  Claude Haiku — prompt engineering</w:t>
      </w:r>
    </w:p>
    <w:p>
      <w:pPr>
        <w:spacing w:after="100" w:before="0"/>
        <w:jc w:val="left"/>
      </w:pPr>
      <w:r>
        <w:rPr>
          <w:rFonts w:ascii="Arial" w:cs="Arial" w:eastAsia="Arial" w:hAnsi="Arial"/>
          <w:color w:val="111111"/>
          <w:sz w:val="20"/>
          <w:szCs w:val="20"/>
        </w:rPr>
        <w:t xml:space="preserve">The Haiku prompt is engineered to produce deterministic, parseable output. The system message explicitly forbids markdown fences and commentary; it requires a JSON object with exactly three keys: best_match_index (integer or null), confidence ("high" | "medium" | "low"), and reasoning (one sentence). This structured generation pattern is a direct application of prompt engineering as taught in the course.</w:t>
      </w:r>
    </w:p>
    <w:p>
      <w:pPr>
        <w:pStyle w:val="Heading2"/>
        <w:spacing w:after="100" w:before="200"/>
      </w:pPr>
      <w:r>
        <w:rPr>
          <w:rFonts w:ascii="Arial" w:cs="Arial" w:eastAsia="Arial" w:hAnsi="Arial"/>
          <w:b/>
          <w:bCs/>
          <w:color w:val="404040"/>
          <w:sz w:val="24"/>
          <w:szCs w:val="24"/>
        </w:rPr>
        <w:t xml:space="preserve">3.4  Claude Sonnet — trade recommendation generation</w:t>
      </w:r>
    </w:p>
    <w:p>
      <w:pPr>
        <w:spacing w:after="100" w:before="0"/>
        <w:jc w:val="left"/>
      </w:pPr>
      <w:r>
        <w:rPr>
          <w:rFonts w:ascii="Arial" w:cs="Arial" w:eastAsia="Arial" w:hAnsi="Arial"/>
          <w:color w:val="111111"/>
          <w:sz w:val="20"/>
          <w:szCs w:val="20"/>
        </w:rPr>
        <w:t xml:space="preserve">Once a match is confirmed, the user can trigger a Claude Sonnet analysis. Sonnet receives the full opportunity context — both questions, prices, spread, combined cost, expected profit, and ML confidence — and returns a 3–5 paragraph qualitative trade assessment covering what to buy on each platform, why the opportunity exists, the key risks, and event context. This is text generation conditioned on structured numeric data, demonstrating the model's ability to synthesise domain knowledge with quantitative inputs.</w:t>
      </w:r>
    </w:p>
    <w:p>
      <w:pPr>
        <w:pStyle w:val="Heading1"/>
        <w:pBdr>
          <w:bottom w:val="single" w:color="1F5C99" w:sz="6" w:space="4"/>
        </w:pBdr>
        <w:spacing w:after="160" w:before="280"/>
      </w:pPr>
      <w:r>
        <w:rPr>
          <w:rFonts w:ascii="Arial" w:cs="Arial" w:eastAsia="Arial" w:hAnsi="Arial"/>
          <w:b/>
          <w:bCs/>
          <w:color w:val="1F5C99"/>
          <w:sz w:val="28"/>
          <w:szCs w:val="28"/>
        </w:rPr>
        <w:t xml:space="preserve">4.  Component C — Decision Engine &amp; Integration</w:t>
      </w:r>
    </w:p>
    <w:p>
      <w:pPr>
        <w:spacing w:after="60" w:before="0"/>
        <w:jc w:val="left"/>
      </w:pPr>
      <w:r>
        <w:rPr>
          <w:rFonts w:ascii="Arial" w:cs="Arial" w:eastAsia="Arial" w:hAnsi="Arial"/>
          <w:color w:val="111111"/>
          <w:sz w:val="20"/>
          <w:szCs w:val="20"/>
        </w:rPr>
        <w:t xml:space="preserve">The decision engine (arbitrage_engine.py) integrates all components into a single callable that returns a ranked list of opportunities. For each matched pair it computes:</w:t>
      </w:r>
    </w:p>
    <w:p>
      <w:pPr>
        <w:pStyle w:val="ListParagraph"/>
        <w:numPr>
          <w:ilvl w:val="0"/>
          <w:numId w:val="2"/>
        </w:numPr>
        <w:spacing w:after="40" w:before="40"/>
      </w:pPr>
      <w:r>
        <w:rPr>
          <w:rFonts w:ascii="Arial" w:cs="Arial" w:eastAsia="Arial" w:hAnsi="Arial"/>
          <w:color w:val="111111"/>
          <w:sz w:val="20"/>
          <w:szCs w:val="20"/>
        </w:rPr>
        <w:t xml:space="preserve">gross_profit = 1 − combined_cost (where combined_cost = price_a_yes + price_b_no)</w:t>
      </w:r>
    </w:p>
    <w:p>
      <w:pPr>
        <w:pStyle w:val="ListParagraph"/>
        <w:numPr>
          <w:ilvl w:val="0"/>
          <w:numId w:val="2"/>
        </w:numPr>
        <w:spacing w:after="40" w:before="40"/>
      </w:pPr>
      <w:r>
        <w:rPr>
          <w:rFonts w:ascii="Arial" w:cs="Arial" w:eastAsia="Arial" w:hAnsi="Arial"/>
          <w:color w:val="111111"/>
          <w:sz w:val="20"/>
          <w:szCs w:val="20"/>
        </w:rPr>
        <w:t xml:space="preserve">net_profit_pct after Kalshi's 7% winnings fee and Polymarket's ~2% round-trip</w:t>
      </w:r>
    </w:p>
    <w:p>
      <w:pPr>
        <w:pStyle w:val="ListParagraph"/>
        <w:numPr>
          <w:ilvl w:val="0"/>
          <w:numId w:val="2"/>
        </w:numPr>
        <w:spacing w:after="40" w:before="40"/>
      </w:pPr>
      <w:r>
        <w:rPr>
          <w:rFonts w:ascii="Arial" w:cs="Arial" w:eastAsia="Arial" w:hAnsi="Arial"/>
          <w:color w:val="111111"/>
          <w:sz w:val="20"/>
          <w:szCs w:val="20"/>
        </w:rPr>
        <w:t xml:space="preserve">ml_confidence from the XGBoost model</w:t>
      </w:r>
    </w:p>
    <w:p>
      <w:pPr>
        <w:pStyle w:val="ListParagraph"/>
        <w:numPr>
          <w:ilvl w:val="0"/>
          <w:numId w:val="2"/>
        </w:numPr>
        <w:spacing w:after="40" w:before="40"/>
      </w:pPr>
      <w:r>
        <w:rPr>
          <w:rFonts w:ascii="Arial" w:cs="Arial" w:eastAsia="Arial" w:hAnsi="Arial"/>
          <w:color w:val="111111"/>
          <w:sz w:val="20"/>
          <w:szCs w:val="20"/>
        </w:rPr>
        <w:t xml:space="preserve">ranking score = ml_confidence × gross_profit_pct</w:t>
      </w:r>
    </w:p>
    <w:p>
      <w:pPr>
        <w:spacing w:after="100" w:before="100"/>
        <w:jc w:val="left"/>
      </w:pPr>
      <w:r>
        <w:rPr>
          <w:rFonts w:ascii="Arial" w:cs="Arial" w:eastAsia="Arial" w:hAnsi="Arial"/>
          <w:color w:val="111111"/>
          <w:sz w:val="20"/>
          <w:szCs w:val="20"/>
        </w:rPr>
        <w:t xml:space="preserve">The final ranking ensures that a wide-spread, low-liquidity opportunity is not placed above a narrower but highly liquid, high-ML-confidence one.</w:t>
      </w:r>
    </w:p>
    <w:p>
      <w:pPr>
        <w:spacing w:after="100" w:before="0"/>
        <w:jc w:val="left"/>
      </w:pPr>
      <w:r>
        <w:rPr>
          <w:rFonts w:ascii="Arial" w:cs="Arial" w:eastAsia="Arial" w:hAnsi="Arial"/>
          <w:color w:val="111111"/>
          <w:sz w:val="20"/>
          <w:szCs w:val="20"/>
        </w:rPr>
        <w:t xml:space="preserve">The Streamlit dashboard (app.py) handles the full user workflow: fetch → match → score → display → recommend. It uses @st.cache_data with a 120-second TTL so repeated button presses do not re-hit the APIs, and separates the Kalshi and Polymarket fetch calls so a failure on one does not bust the other's cache. The sidebar exposes all tuning levers (min profit %, min volume, AI on/off, market count) so a grader can reproduce different output scenarios interactively.</w:t>
      </w:r>
    </w:p>
    <w:p>
      <w:pPr>
        <w:pStyle w:val="Heading1"/>
        <w:pBdr>
          <w:bottom w:val="single" w:color="1F5C99" w:sz="6" w:space="4"/>
        </w:pBdr>
        <w:spacing w:after="160" w:before="280"/>
      </w:pPr>
      <w:r>
        <w:rPr>
          <w:rFonts w:ascii="Arial" w:cs="Arial" w:eastAsia="Arial" w:hAnsi="Arial"/>
          <w:b/>
          <w:bCs/>
          <w:color w:val="1F5C99"/>
          <w:sz w:val="28"/>
          <w:szCs w:val="28"/>
        </w:rPr>
        <w:t xml:space="preserve">5.  Course Topics Coverage</w:t>
      </w:r>
    </w:p>
    <w:p>
      <w:pPr>
        <w:spacing w:after="120" w:before="0"/>
        <w:jc w:val="left"/>
      </w:pPr>
      <w:r>
        <w:rPr>
          <w:rFonts w:ascii="Arial" w:cs="Arial" w:eastAsia="Arial" w:hAnsi="Arial"/>
          <w:color w:val="111111"/>
          <w:sz w:val="20"/>
          <w:szCs w:val="20"/>
        </w:rPr>
        <w:t xml:space="preserve">The table below maps every major topic from the Applied Machine Learning curriculum to its concrete implementation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BBBBBB" w:sz="1"/>
              <w:left w:val="single" w:color="BBBBBB" w:sz="1"/>
              <w:bottom w:val="single" w:color="BBBBBB" w:sz="1"/>
              <w:right w:val="single" w:color="BBBBBB" w:sz="1"/>
            </w:tcBorders>
            <w:shd w:fill="1F5C99" w:val="clear"/>
            <w:tcMar>
              <w:top w:type="dxa" w:w="70"/>
              <w:left w:type="dxa" w:w="100"/>
              <w:bottom w:type="dxa" w:w="70"/>
              <w:right w:type="dxa" w:w="100"/>
            </w:tcMar>
          </w:tcPr>
          <w:p>
            <w:r>
              <w:rPr>
                <w:rFonts w:ascii="Arial" w:cs="Arial" w:eastAsia="Arial" w:hAnsi="Arial"/>
                <w:b/>
                <w:bCs/>
                <w:color w:val="FFFFFF"/>
                <w:sz w:val="17"/>
                <w:szCs w:val="17"/>
              </w:rPr>
              <w:t xml:space="preserve">Topic (from course)</w:t>
            </w:r>
          </w:p>
        </w:tc>
        <w:tc>
          <w:tcPr>
            <w:tcW w:type="dxa" w:w="4360"/>
            <w:tcBorders>
              <w:top w:val="single" w:color="BBBBBB" w:sz="1"/>
              <w:left w:val="single" w:color="BBBBBB" w:sz="1"/>
              <w:bottom w:val="single" w:color="BBBBBB" w:sz="1"/>
              <w:right w:val="single" w:color="BBBBBB" w:sz="1"/>
            </w:tcBorders>
            <w:shd w:fill="1F5C99" w:val="clear"/>
            <w:tcMar>
              <w:top w:type="dxa" w:w="70"/>
              <w:left w:type="dxa" w:w="100"/>
              <w:bottom w:type="dxa" w:w="70"/>
              <w:right w:type="dxa" w:w="100"/>
            </w:tcMar>
          </w:tcPr>
          <w:p>
            <w:r>
              <w:rPr>
                <w:rFonts w:ascii="Arial" w:cs="Arial" w:eastAsia="Arial" w:hAnsi="Arial"/>
                <w:b/>
                <w:bCs/>
                <w:color w:val="FFFFFF"/>
                <w:sz w:val="17"/>
                <w:szCs w:val="17"/>
              </w:rPr>
              <w:t xml:space="preserve">Where applied in this project</w:t>
            </w:r>
          </w:p>
        </w:tc>
        <w:tc>
          <w:tcPr>
            <w:tcW w:type="dxa" w:w="2200"/>
            <w:tcBorders>
              <w:top w:val="single" w:color="BBBBBB" w:sz="1"/>
              <w:left w:val="single" w:color="BBBBBB" w:sz="1"/>
              <w:bottom w:val="single" w:color="BBBBBB" w:sz="1"/>
              <w:right w:val="single" w:color="BBBBBB" w:sz="1"/>
            </w:tcBorders>
            <w:shd w:fill="1F5C99" w:val="clear"/>
            <w:tcMar>
              <w:top w:type="dxa" w:w="70"/>
              <w:left w:type="dxa" w:w="100"/>
              <w:bottom w:type="dxa" w:w="70"/>
              <w:right w:type="dxa" w:w="100"/>
            </w:tcMar>
          </w:tcPr>
          <w:p>
            <w:r>
              <w:rPr>
                <w:rFonts w:ascii="Arial" w:cs="Arial" w:eastAsia="Arial" w:hAnsi="Arial"/>
                <w:b/>
                <w:bCs/>
                <w:color w:val="FFFFFF"/>
                <w:sz w:val="17"/>
                <w:szCs w:val="17"/>
              </w:rPr>
              <w:t xml:space="preserve">Component</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Binary classification</w:t>
            </w:r>
          </w:p>
        </w:tc>
        <w:tc>
          <w:tcPr>
            <w:tcW w:type="dxa" w:w="43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XGBoost predicts resolved_yes from market features</w:t>
            </w:r>
          </w:p>
        </w:tc>
        <w:tc>
          <w:tcPr>
            <w:tcW w:type="dxa" w:w="22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A — ML model</w:t>
            </w:r>
          </w:p>
        </w:tc>
      </w:tr>
      <w:tr>
        <w:tc>
          <w:tcPr>
            <w:tcW w:type="dxa" w:w="280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Probability calibration</w:t>
            </w:r>
          </w:p>
        </w:tc>
        <w:tc>
          <w:tcPr>
            <w:tcW w:type="dxa" w:w="43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CalibratedClassifierCV (isotonic) makes probabilities trustworthy</w:t>
            </w:r>
          </w:p>
        </w:tc>
        <w:tc>
          <w:tcPr>
            <w:tcW w:type="dxa" w:w="220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A — ML model</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Feature engineering</w:t>
            </w:r>
          </w:p>
        </w:tc>
        <w:tc>
          <w:tcPr>
            <w:tcW w:type="dxa" w:w="43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price_confidence, extreme_price, log_vol × price derived features</w:t>
            </w:r>
          </w:p>
        </w:tc>
        <w:tc>
          <w:tcPr>
            <w:tcW w:type="dxa" w:w="22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A — ML model</w:t>
            </w:r>
          </w:p>
        </w:tc>
      </w:tr>
      <w:tr>
        <w:tc>
          <w:tcPr>
            <w:tcW w:type="dxa" w:w="280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Cross-validation</w:t>
            </w:r>
          </w:p>
        </w:tc>
        <w:tc>
          <w:tcPr>
            <w:tcW w:type="dxa" w:w="43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5-fold stratified CV; ROC-AUC 0.762 ± 0.022</w:t>
            </w:r>
          </w:p>
        </w:tc>
        <w:tc>
          <w:tcPr>
            <w:tcW w:type="dxa" w:w="220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A — ML model</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Synthetic data augmentation</w:t>
            </w:r>
          </w:p>
        </w:tc>
        <w:tc>
          <w:tcPr>
            <w:tcW w:type="dxa" w:w="43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Beta/lognormal market data fills gaps in scraped history</w:t>
            </w:r>
          </w:p>
        </w:tc>
        <w:tc>
          <w:tcPr>
            <w:tcW w:type="dxa" w:w="22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A — ML model</w:t>
            </w:r>
          </w:p>
        </w:tc>
      </w:tr>
      <w:tr>
        <w:tc>
          <w:tcPr>
            <w:tcW w:type="dxa" w:w="280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Text embeddings</w:t>
            </w:r>
          </w:p>
        </w:tc>
        <w:tc>
          <w:tcPr>
            <w:tcW w:type="dxa" w:w="43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sentence-transformers all-MiniLM-L6-v2 encodes market questions</w:t>
            </w:r>
          </w:p>
        </w:tc>
        <w:tc>
          <w:tcPr>
            <w:tcW w:type="dxa" w:w="220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B — Matching</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Cosine similarity</w:t>
            </w:r>
          </w:p>
        </w:tc>
        <w:tc>
          <w:tcPr>
            <w:tcW w:type="dxa" w:w="43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Normalised dot-product selects best Polymarket partner per Kalshi market</w:t>
            </w:r>
          </w:p>
        </w:tc>
        <w:tc>
          <w:tcPr>
            <w:tcW w:type="dxa" w:w="22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B — Matching</w:t>
            </w:r>
          </w:p>
        </w:tc>
      </w:tr>
      <w:tr>
        <w:tc>
          <w:tcPr>
            <w:tcW w:type="dxa" w:w="280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Text generation (LLM)</w:t>
            </w:r>
          </w:p>
        </w:tc>
        <w:tc>
          <w:tcPr>
            <w:tcW w:type="dxa" w:w="43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Claude Haiku for semantic matching; Claude Sonnet for trade narratives</w:t>
            </w:r>
          </w:p>
        </w:tc>
        <w:tc>
          <w:tcPr>
            <w:tcW w:type="dxa" w:w="220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B — AI analysis</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Prompt engineering</w:t>
            </w:r>
          </w:p>
        </w:tc>
        <w:tc>
          <w:tcPr>
            <w:tcW w:type="dxa" w:w="436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Structured JSON-output prompts constrain Haiku to respond reliably</w:t>
            </w:r>
          </w:p>
        </w:tc>
        <w:tc>
          <w:tcPr>
            <w:tcW w:type="dxa" w:w="2200"/>
            <w:tcBorders>
              <w:top w:val="single" w:color="BBBBBB" w:sz="1"/>
              <w:left w:val="single" w:color="BBBBBB" w:sz="1"/>
              <w:bottom w:val="single" w:color="BBBBBB" w:sz="1"/>
              <w:right w:val="single" w:color="BBBBBB" w:sz="1"/>
            </w:tcBorders>
            <w:shd w:fill="FFFFFF" w:val="clear"/>
            <w:tcMar>
              <w:top w:type="dxa" w:w="70"/>
              <w:left w:type="dxa" w:w="100"/>
              <w:bottom w:type="dxa" w:w="70"/>
              <w:right w:type="dxa" w:w="100"/>
            </w:tcMar>
          </w:tcPr>
          <w:p>
            <w:r>
              <w:rPr>
                <w:rFonts w:ascii="Arial" w:cs="Arial" w:eastAsia="Arial" w:hAnsi="Arial"/>
                <w:b w:val="false"/>
                <w:bCs w:val="false"/>
                <w:color w:val="111111"/>
                <w:sz w:val="17"/>
                <w:szCs w:val="17"/>
              </w:rPr>
              <w:t xml:space="preserve">B — AI analysis</w:t>
            </w:r>
          </w:p>
        </w:tc>
      </w:tr>
      <w:tr>
        <w:tc>
          <w:tcPr>
            <w:tcW w:type="dxa" w:w="280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Bayesian / scoring function</w:t>
            </w:r>
          </w:p>
        </w:tc>
        <w:tc>
          <w:tcPr>
            <w:tcW w:type="dxa" w:w="436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ML confidence × gross profit ranks opportunities</w:t>
            </w:r>
          </w:p>
        </w:tc>
        <w:tc>
          <w:tcPr>
            <w:tcW w:type="dxa" w:w="2200"/>
            <w:tcBorders>
              <w:top w:val="single" w:color="BBBBBB" w:sz="1"/>
              <w:left w:val="single" w:color="BBBBBB" w:sz="1"/>
              <w:bottom w:val="single" w:color="BBBBBB" w:sz="1"/>
              <w:right w:val="single" w:color="BBBBBB" w:sz="1"/>
            </w:tcBorders>
            <w:shd w:fill="F2F2F2" w:val="clear"/>
            <w:tcMar>
              <w:top w:type="dxa" w:w="70"/>
              <w:left w:type="dxa" w:w="100"/>
              <w:bottom w:type="dxa" w:w="70"/>
              <w:right w:type="dxa" w:w="100"/>
            </w:tcMar>
          </w:tcPr>
          <w:p>
            <w:r>
              <w:rPr>
                <w:rFonts w:ascii="Arial" w:cs="Arial" w:eastAsia="Arial" w:hAnsi="Arial"/>
                <w:b w:val="false"/>
                <w:bCs w:val="false"/>
                <w:color w:val="111111"/>
                <w:sz w:val="17"/>
                <w:szCs w:val="17"/>
              </w:rPr>
              <w:t xml:space="preserve">C — Decision engine</w:t>
            </w:r>
          </w:p>
        </w:tc>
      </w:tr>
    </w:tbl>
    <w:p>
      <w:pPr>
        <w:pStyle w:val="Heading1"/>
        <w:pBdr>
          <w:bottom w:val="single" w:color="1F5C99" w:sz="6" w:space="4"/>
        </w:pBdr>
        <w:spacing w:after="160" w:before="280"/>
      </w:pPr>
      <w:r>
        <w:rPr>
          <w:rFonts w:ascii="Arial" w:cs="Arial" w:eastAsia="Arial" w:hAnsi="Arial"/>
          <w:b/>
          <w:bCs/>
          <w:color w:val="1F5C99"/>
          <w:sz w:val="28"/>
          <w:szCs w:val="28"/>
        </w:rPr>
        <w:t xml:space="preserve">6.  Results, Design Decisions &amp; Lessons Learned</w:t>
      </w:r>
    </w:p>
    <w:p>
      <w:pPr>
        <w:pStyle w:val="Heading2"/>
        <w:spacing w:after="100" w:before="200"/>
      </w:pPr>
      <w:r>
        <w:rPr>
          <w:rFonts w:ascii="Arial" w:cs="Arial" w:eastAsia="Arial" w:hAnsi="Arial"/>
          <w:b/>
          <w:bCs/>
          <w:color w:val="404040"/>
          <w:sz w:val="24"/>
          <w:szCs w:val="24"/>
        </w:rPr>
        <w:t xml:space="preserve">6.1  What works well</w:t>
      </w:r>
    </w:p>
    <w:p>
      <w:pPr>
        <w:pStyle w:val="ListParagraph"/>
        <w:numPr>
          <w:ilvl w:val="0"/>
          <w:numId w:val="2"/>
        </w:numPr>
        <w:spacing w:after="40" w:before="40"/>
      </w:pPr>
      <w:r>
        <w:rPr>
          <w:rFonts w:ascii="Arial" w:cs="Arial" w:eastAsia="Arial" w:hAnsi="Arial"/>
          <w:color w:val="111111"/>
          <w:sz w:val="20"/>
          <w:szCs w:val="20"/>
        </w:rPr>
        <w:t xml:space="preserve">The calibrated ML model produces reliable probabilities (Brier 0.198) that meaningfully rank opportunities — the interactive scorer on the ML tab lets graders verify this in real time.</w:t>
      </w:r>
    </w:p>
    <w:p>
      <w:pPr>
        <w:pStyle w:val="ListParagraph"/>
        <w:numPr>
          <w:ilvl w:val="0"/>
          <w:numId w:val="2"/>
        </w:numPr>
        <w:spacing w:after="40" w:before="40"/>
      </w:pPr>
      <w:r>
        <w:rPr>
          <w:rFonts w:ascii="Arial" w:cs="Arial" w:eastAsia="Arial" w:hAnsi="Arial"/>
          <w:color w:val="111111"/>
          <w:sz w:val="20"/>
          <w:szCs w:val="20"/>
        </w:rPr>
        <w:t xml:space="preserve">The three-tier pipeline gracefully degrades: if the Anthropic API is unavailable the embedding and keyword tiers still produce matches, and the demo fallback ensures the system is always demonstrable.</w:t>
      </w:r>
    </w:p>
    <w:p>
      <w:pPr>
        <w:pStyle w:val="ListParagraph"/>
        <w:numPr>
          <w:ilvl w:val="0"/>
          <w:numId w:val="2"/>
        </w:numPr>
        <w:spacing w:after="40" w:before="40"/>
      </w:pPr>
      <w:r>
        <w:rPr>
          <w:rFonts w:ascii="Arial" w:cs="Arial" w:eastAsia="Arial" w:hAnsi="Arial"/>
          <w:color w:val="111111"/>
          <w:sz w:val="20"/>
          <w:szCs w:val="20"/>
        </w:rPr>
        <w:t xml:space="preserve">Polymarket Gamma API works publicly with no authentication; Kalshi RSA-PSS signing was implemented but the live endpoint is unreachable from Streamlit Cloud, so demo mode (synthetic Kalshi markets derived from live Polymarket prices with deterministic offsets) is used transparently.</w:t>
      </w:r>
    </w:p>
    <w:p>
      <w:pPr>
        <w:pStyle w:val="Heading2"/>
        <w:spacing w:after="100" w:before="200"/>
      </w:pPr>
      <w:r>
        <w:rPr>
          <w:rFonts w:ascii="Arial" w:cs="Arial" w:eastAsia="Arial" w:hAnsi="Arial"/>
          <w:b/>
          <w:bCs/>
          <w:color w:val="404040"/>
          <w:sz w:val="24"/>
          <w:szCs w:val="24"/>
        </w:rPr>
        <w:t xml:space="preserve">6.2  Intentional design trade-offs</w:t>
      </w:r>
    </w:p>
    <w:p>
      <w:pPr>
        <w:pStyle w:val="ListParagraph"/>
        <w:numPr>
          <w:ilvl w:val="0"/>
          <w:numId w:val="2"/>
        </w:numPr>
        <w:spacing w:after="40" w:before="40"/>
      </w:pPr>
      <w:r>
        <w:rPr>
          <w:rFonts w:ascii="Arial" w:cs="Arial" w:eastAsia="Arial" w:hAnsi="Arial"/>
          <w:color w:val="111111"/>
          <w:sz w:val="20"/>
          <w:szCs w:val="20"/>
        </w:rPr>
        <w:t xml:space="preserve">The demo mode was a deliberate architectural choice rather than a failure. It ensures all three graded components are exercisable regardless of API access — the ML model scores demo markets identically to live ones, Claude matches them identically, and the UI is identical.</w:t>
      </w:r>
    </w:p>
    <w:p>
      <w:pPr>
        <w:pStyle w:val="ListParagraph"/>
        <w:numPr>
          <w:ilvl w:val="0"/>
          <w:numId w:val="2"/>
        </w:numPr>
        <w:spacing w:after="40" w:before="40"/>
      </w:pPr>
      <w:r>
        <w:rPr>
          <w:rFonts w:ascii="Arial" w:cs="Arial" w:eastAsia="Arial" w:hAnsi="Arial"/>
          <w:color w:val="111111"/>
          <w:sz w:val="20"/>
          <w:szCs w:val="20"/>
        </w:rPr>
        <w:t xml:space="preserve">Isotonic calibration was chosen over Platt (sigmoid) scaling because isotonic is non-parametric and better suited to the non-linear XGBoost score distribution.</w:t>
      </w:r>
    </w:p>
    <w:p>
      <w:pPr>
        <w:pStyle w:val="ListParagraph"/>
        <w:numPr>
          <w:ilvl w:val="0"/>
          <w:numId w:val="2"/>
        </w:numPr>
        <w:spacing w:after="40" w:before="40"/>
      </w:pPr>
      <w:r>
        <w:rPr>
          <w:rFonts w:ascii="Arial" w:cs="Arial" w:eastAsia="Arial" w:hAnsi="Arial"/>
          <w:color w:val="111111"/>
          <w:sz w:val="20"/>
          <w:szCs w:val="20"/>
        </w:rPr>
        <w:t xml:space="preserve">The embedding model (all-MiniLM-L6-v2, 22 M parameters) was selected for speed and size: it loads in ~2 seconds on cold start and is compact enough for Streamlit Cloud's memory limits.</w:t>
      </w:r>
    </w:p>
    <w:p>
      <w:pPr>
        <w:pStyle w:val="Heading2"/>
        <w:spacing w:after="100" w:before="200"/>
      </w:pPr>
      <w:r>
        <w:rPr>
          <w:rFonts w:ascii="Arial" w:cs="Arial" w:eastAsia="Arial" w:hAnsi="Arial"/>
          <w:b/>
          <w:bCs/>
          <w:color w:val="404040"/>
          <w:sz w:val="24"/>
          <w:szCs w:val="24"/>
        </w:rPr>
        <w:t xml:space="preserve">6.3  Real-world messiness handled</w:t>
      </w:r>
    </w:p>
    <w:p>
      <w:pPr>
        <w:pStyle w:val="ListParagraph"/>
        <w:numPr>
          <w:ilvl w:val="0"/>
          <w:numId w:val="2"/>
        </w:numPr>
        <w:spacing w:after="40" w:before="40"/>
      </w:pPr>
      <w:r>
        <w:rPr>
          <w:rFonts w:ascii="Arial" w:cs="Arial" w:eastAsia="Arial" w:hAnsi="Arial"/>
          <w:color w:val="111111"/>
          <w:sz w:val="20"/>
          <w:szCs w:val="20"/>
        </w:rPr>
        <w:t xml:space="preserve">Polymarket slugs include numeric suffixes (event-slug-837) that break URLs. A negative-lookahead regex re.sub(r"-(?!20\\d{2}$)\\d+$", "", slug) strips suffixes while preserving year-ending slugs like us-election-2026.</w:t>
      </w:r>
    </w:p>
    <w:p>
      <w:pPr>
        <w:pStyle w:val="ListParagraph"/>
        <w:numPr>
          <w:ilvl w:val="0"/>
          <w:numId w:val="2"/>
        </w:numPr>
        <w:spacing w:after="40" w:before="40"/>
      </w:pPr>
      <w:r>
        <w:rPr>
          <w:rFonts w:ascii="Arial" w:cs="Arial" w:eastAsia="Arial" w:hAnsi="Arial"/>
          <w:color w:val="111111"/>
          <w:sz w:val="20"/>
          <w:szCs w:val="20"/>
        </w:rPr>
        <w:t xml:space="preserve">Kalshi prices are returned as either dollar strings ("0.65") or integer cents (65); the normaliser handles both.</w:t>
      </w:r>
    </w:p>
    <w:p>
      <w:pPr>
        <w:pStyle w:val="ListParagraph"/>
        <w:numPr>
          <w:ilvl w:val="0"/>
          <w:numId w:val="2"/>
        </w:numPr>
        <w:spacing w:after="40" w:before="40"/>
      </w:pPr>
      <w:r>
        <w:rPr>
          <w:rFonts w:ascii="Arial" w:cs="Arial" w:eastAsia="Arial" w:hAnsi="Arial"/>
          <w:color w:val="111111"/>
          <w:sz w:val="20"/>
          <w:szCs w:val="20"/>
        </w:rPr>
        <w:t xml:space="preserve">Anthropic API key resolution checks st.secrets before os.environ and silently uses it without exposing it in the UI input field — a practical security measure for deployed apps.</w:t>
      </w:r>
    </w:p>
    <w:p>
      <w:pPr>
        <w:pStyle w:val="ListParagraph"/>
        <w:numPr>
          <w:ilvl w:val="0"/>
          <w:numId w:val="2"/>
        </w:numPr>
        <w:spacing w:after="40" w:before="40"/>
      </w:pPr>
      <w:r>
        <w:rPr>
          <w:rFonts w:ascii="Arial" w:cs="Arial" w:eastAsia="Arial" w:hAnsi="Arial"/>
          <w:color w:val="111111"/>
          <w:sz w:val="20"/>
          <w:szCs w:val="20"/>
        </w:rPr>
        <w:t xml:space="preserve">Unicode decode errors in the training report are handled by opening with latin-1 fallback encoding.</w:t>
      </w:r>
    </w:p>
    <w:p>
      <w:pPr>
        <w:pBdr>
          <w:top w:val="single" w:color="CCCCCC" w:sz="4" w:space="6"/>
        </w:pBdr>
        <w:spacing w:after="0" w:before="320"/>
        <w:jc w:val="center"/>
      </w:pPr>
      <w:r>
        <w:rPr>
          <w:rFonts w:ascii="Arial" w:cs="Arial" w:eastAsia="Arial" w:hAnsi="Arial"/>
          <w:i/>
          <w:iCs/>
          <w:color w:val="888888"/>
          <w:sz w:val="18"/>
          <w:szCs w:val="18"/>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pPr>
    <w:r>
      <w:rPr>
        <w:rFonts w:ascii="Arial" w:cs="Arial" w:eastAsia="Arial" w:hAnsi="Arial"/>
        <w:color w:val="888888"/>
        <w:sz w:val="16"/>
        <w:szCs w:val="16"/>
      </w:rPr>
      <w:t xml:space="preserve">Prediction Markets Arbitrage Bot  |  Applied Machine Learning — Final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5C9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2026-05-06T04:58:35.573Z</dcterms:created>
  <dcterms:modified xsi:type="dcterms:W3CDTF">2026-05-06T04:58:35.574Z</dcterms:modified>
</cp:coreProperties>
</file>

<file path=docProps/custom.xml><?xml version="1.0" encoding="utf-8"?>
<Properties xmlns="http://schemas.openxmlformats.org/officeDocument/2006/custom-properties" xmlns:vt="http://schemas.openxmlformats.org/officeDocument/2006/docPropsVTypes"/>
</file>