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8"/>
          <w:szCs w:val="28"/>
        </w:rPr>
      </w:pPr>
      <w:r>
        <w:rPr>
          <w:b/>
          <w:sz w:val="28"/>
          <w:szCs w:val="28"/>
        </w:rPr>
        <w:t xml:space="preserve">    </w:t>
      </w:r>
    </w:p>
    <w:p>
      <w:pPr>
        <w:pStyle w:val="Normal"/>
        <w:ind w:left="567" w:hanging="0"/>
        <w:jc w:val="center"/>
        <w:rPr>
          <w:b/>
          <w:b/>
          <w:sz w:val="28"/>
          <w:szCs w:val="28"/>
        </w:rPr>
      </w:pPr>
      <w:r>
        <w:rPr>
          <w:b/>
          <w:sz w:val="28"/>
          <w:szCs w:val="28"/>
        </w:rPr>
        <w:t xml:space="preserve">Fatty acid and retinol-binding protein: Unusual protein conformational and cavity changes dictated by ligand fluctuations.     </w:t>
      </w:r>
    </w:p>
    <w:p>
      <w:pPr>
        <w:pStyle w:val="Normal"/>
        <w:ind w:left="567" w:hanging="0"/>
        <w:jc w:val="center"/>
        <w:rPr>
          <w:b/>
          <w:b/>
          <w:sz w:val="28"/>
          <w:szCs w:val="28"/>
        </w:rPr>
      </w:pPr>
      <w:r>
        <w:rPr>
          <w:b/>
          <w:sz w:val="28"/>
          <w:szCs w:val="28"/>
        </w:rPr>
      </w:r>
    </w:p>
    <w:p>
      <w:pPr>
        <w:pStyle w:val="BodyText2"/>
        <w:ind w:left="567" w:hanging="0"/>
        <w:jc w:val="left"/>
        <w:rPr>
          <w:b w:val="false"/>
          <w:b w:val="false"/>
          <w:color w:val="000000"/>
          <w:sz w:val="20"/>
          <w:lang w:val="en-US"/>
        </w:rPr>
      </w:pPr>
      <w:r>
        <w:rPr>
          <w:b w:val="false"/>
          <w:color w:val="000000"/>
          <w:sz w:val="20"/>
          <w:lang w:val="en-US"/>
        </w:rPr>
      </w:r>
    </w:p>
    <w:p>
      <w:pPr>
        <w:pStyle w:val="BodyText2"/>
        <w:ind w:left="567" w:hanging="0"/>
        <w:jc w:val="both"/>
        <w:rPr>
          <w:b w:val="false"/>
          <w:b w:val="false"/>
          <w:color w:val="000000"/>
          <w:sz w:val="20"/>
          <w:lang w:val="es-AR"/>
        </w:rPr>
      </w:pPr>
      <w:r>
        <w:rPr>
          <w:b w:val="false"/>
          <w:color w:val="000000"/>
          <w:sz w:val="20"/>
          <w:lang w:val="es-AR"/>
        </w:rPr>
        <w:t>G. P. Barletta, B. Corsico, and S. Fernandez-Alberti</w:t>
      </w:r>
      <w:r>
        <w:rPr>
          <w:color w:val="000000"/>
          <w:sz w:val="20"/>
          <w:vertAlign w:val="superscript"/>
          <w:lang w:val="es-AR"/>
        </w:rPr>
        <w:t>*</w:t>
      </w:r>
    </w:p>
    <w:p>
      <w:pPr>
        <w:pStyle w:val="BodyText2"/>
        <w:spacing w:before="0" w:after="0"/>
        <w:ind w:left="567" w:hanging="0"/>
        <w:jc w:val="both"/>
        <w:rPr>
          <w:b w:val="false"/>
          <w:b w:val="false"/>
          <w:color w:val="000000"/>
          <w:sz w:val="20"/>
          <w:lang w:val="es-AR"/>
        </w:rPr>
      </w:pPr>
      <w:r>
        <w:rPr>
          <w:b w:val="false"/>
          <w:color w:val="000000"/>
          <w:sz w:val="20"/>
          <w:lang w:val="es-AR"/>
        </w:rPr>
        <w:t>Universidad Nacional de Quilmes/CONICET, Roque Saenz Peña 352, B1876BXD Bernal, Argentina</w:t>
      </w:r>
    </w:p>
    <w:p>
      <w:pPr>
        <w:pStyle w:val="BodyText2"/>
        <w:ind w:left="567" w:hanging="0"/>
        <w:jc w:val="both"/>
        <w:rPr>
          <w:b w:val="false"/>
          <w:b w:val="false"/>
          <w:sz w:val="20"/>
          <w:lang w:val="es-AR"/>
        </w:rPr>
      </w:pPr>
      <w:r>
        <w:rPr>
          <w:b w:val="false"/>
          <w:sz w:val="20"/>
          <w:lang w:val="es-AR"/>
        </w:rPr>
      </w:r>
    </w:p>
    <w:p>
      <w:pPr>
        <w:pStyle w:val="Normal"/>
        <w:ind w:left="567" w:hanging="0"/>
        <w:rPr>
          <w:color w:val="000000"/>
          <w:sz w:val="22"/>
          <w:szCs w:val="22"/>
        </w:rPr>
      </w:pPr>
      <w:r>
        <w:rPr>
          <w:color w:val="000000"/>
          <w:sz w:val="22"/>
          <w:szCs w:val="22"/>
        </w:rPr>
        <w:t>ABSTRACT</w:t>
      </w:r>
    </w:p>
    <w:p>
      <w:pPr>
        <w:pStyle w:val="Normal"/>
        <w:ind w:left="567" w:hanging="0"/>
        <w:jc w:val="both"/>
        <w:rPr>
          <w:rFonts w:ascii="Arial" w:hAnsi="Arial" w:cs="Arial"/>
          <w:color w:val="000000"/>
          <w:sz w:val="20"/>
          <w:szCs w:val="20"/>
        </w:rPr>
      </w:pPr>
      <w:r>
        <w:rPr>
          <w:rFonts w:cs="Arial" w:ascii="Arial" w:hAnsi="Arial"/>
          <w:color w:val="000000"/>
          <w:sz w:val="20"/>
          <w:szCs w:val="20"/>
        </w:rPr>
      </w:r>
    </w:p>
    <w:p>
      <w:pPr>
        <w:pStyle w:val="BodyText2"/>
        <w:ind w:left="567" w:hanging="0"/>
        <w:jc w:val="both"/>
        <w:rPr>
          <w:rFonts w:ascii="Arial" w:hAnsi="Arial" w:cs="Arial"/>
          <w:b w:val="false"/>
          <w:b w:val="false"/>
          <w:color w:val="000000" w:themeColor="text1"/>
          <w:sz w:val="20"/>
          <w:lang w:val="en-US"/>
        </w:rPr>
      </w:pPr>
      <w:r>
        <w:rPr>
          <w:rFonts w:cs="Arial" w:ascii="Arial" w:hAnsi="Arial"/>
          <w:b w:val="false"/>
          <w:color w:val="000000" w:themeColor="text1"/>
          <w:sz w:val="20"/>
          <w:lang w:val="en-US"/>
        </w:rPr>
      </w:r>
    </w:p>
    <w:p>
      <w:pPr>
        <w:pStyle w:val="Normal"/>
        <w:spacing w:before="0" w:after="120"/>
        <w:ind w:left="567" w:hanging="0"/>
        <w:jc w:val="both"/>
        <w:rPr>
          <w:color w:val="000000"/>
          <w:lang w:eastAsia="en-US"/>
        </w:rPr>
      </w:pPr>
      <w:r>
        <w:rPr>
          <w:color w:val="000000"/>
          <w:lang w:eastAsia="en-US"/>
        </w:rPr>
        <w:t xml:space="preserve">Lipid-binding proteins(LBPs) are cytosolic proteins responsible of the uptake, transport and storage of  large variety of hydrophobic lipophilic molecules including fatty acids, steroids, and other lipids in the cellular environment. </w:t>
      </w:r>
      <w:r>
        <w:rPr>
          <w:color w:val="000000"/>
        </w:rPr>
        <w:t xml:space="preserve">Among the LBPs, fatty acid binding proteins (FABPs) present preferential binding affinities for long-chain fatty acids.  </w:t>
      </w:r>
      <w:r>
        <w:rPr>
          <w:color w:val="000000"/>
          <w:lang w:eastAsia="en-US"/>
        </w:rPr>
        <w:t xml:space="preserve">While most of FABPs in vertebrates and invertebrates present similar β-barrel structures with ligands accommodated in their central cavity, parasitic nematode worms exhibit additional unusual α-helix rich fatty acid- and retinol-binding proteins (FAR). Herein, we report the comparison of extended molecular dynamics simulations performed on the ligand-free and palmitic acid-bond states of the </w:t>
      </w:r>
      <w:r>
        <w:rPr>
          <w:i/>
          <w:color w:val="000000"/>
          <w:lang w:eastAsia="en-US"/>
        </w:rPr>
        <w:t>Necator americanus</w:t>
      </w:r>
      <w:r>
        <w:rPr>
          <w:color w:val="000000"/>
          <w:lang w:eastAsia="en-US"/>
        </w:rPr>
        <w:t xml:space="preserve"> FAR-1 (Na-FAR-1) respect to other classical β-barrel FABPs. The α-helix fold encompasses a complex internal ligand-binding cavity with a remarkable conformational plasticity that allows reversible switching between distinct states. The size of the cavity is significantly affected by protein conformational changes. Besides, the ligand inside the cavity is not fixed but experience large conformational changes according to the cavity size dictated by the transient protein conformation. On the contrary, ligand binding on β-barrel FABPs shift the conformational equilibrium to a unique conformation placed in a well deep enough for the protein to be trapped fluctuating around it. The significantly more flexible Na-FAR-1 ligand-cavity can explain its larger ligand multiplicity respect to β-barrel FABPs.    </w:t>
      </w:r>
    </w:p>
    <w:p>
      <w:pPr>
        <w:pStyle w:val="Normal"/>
        <w:rPr>
          <w:lang w:eastAsia="en-US"/>
        </w:rPr>
      </w:pPr>
      <w:r>
        <w:rPr>
          <w:lang w:eastAsia="en-US"/>
        </w:rPr>
      </w:r>
    </w:p>
    <w:p>
      <w:pPr>
        <w:pStyle w:val="Normal"/>
        <w:spacing w:lineRule="auto" w:line="276" w:before="0" w:after="200"/>
        <w:rPr>
          <w:rFonts w:ascii="Arial" w:hAnsi="Arial" w:cs="Arial"/>
          <w:b/>
          <w:b/>
          <w:bCs/>
          <w:color w:val="000000"/>
          <w:sz w:val="20"/>
          <w:szCs w:val="20"/>
          <w:lang w:eastAsia="en-US"/>
        </w:rPr>
      </w:pPr>
      <w:r>
        <w:rPr>
          <w:rFonts w:cs="Arial" w:ascii="Arial" w:hAnsi="Arial"/>
          <w:b/>
          <w:bCs/>
          <w:color w:val="000000"/>
          <w:sz w:val="20"/>
          <w:szCs w:val="20"/>
          <w:lang w:eastAsia="en-US"/>
        </w:rPr>
      </w:r>
      <w:r>
        <w:br w:type="page"/>
      </w:r>
    </w:p>
    <w:p>
      <w:pPr>
        <w:pStyle w:val="Heading2"/>
        <w:rPr/>
      </w:pPr>
      <w:r>
        <w:rPr/>
        <w:t>I. INTRODUCTION</w:t>
      </w:r>
    </w:p>
    <w:p>
      <w:pPr>
        <w:pStyle w:val="BodyText2"/>
        <w:ind w:left="567" w:firstLine="709"/>
        <w:jc w:val="both"/>
        <w:rPr/>
      </w:pPr>
      <w:r>
        <w:rPr>
          <w:b w:val="false"/>
          <w:color w:val="000000"/>
          <w:sz w:val="24"/>
          <w:szCs w:val="24"/>
          <w:lang w:val="en-US"/>
        </w:rPr>
        <w:t>Hydrophobic lipophilic molecules like fatty acids, steroids, retinoids and their derivatives participate in a large variety of functions within a cell, including energy storage, signaling and hormonal roles, and membrane permeability regulation among others. Their insolubility in water and their potential oxidative degradation require their coordinated transport and availability, protection and regulation throughout the hydrophilic intracellular environment. Lipid-binding proteins(LBPs) are a group of abundant cytosolic proteins that are responsible for these tasks throughout the aqueous environment inside numerous types of cells</w:t>
      </w:r>
      <w:r>
        <w:fldChar w:fldCharType="begin"/>
      </w:r>
      <w:r>
        <w:rPr/>
        <w:instrText>ADDIN CSL_CITATION {"citationItems":[{"id":"ITEM-1","itemData":{"author":[{"dropping-particle":"","family":"Lucke","given":"C;","non-dropping-particle":"","parse-names":false,"suffix":""},{"dropping-particle":"","family":"Gutierrez-Gonzales, LH; Hamilton","given":"JA.","non-dropping-particle":"","parse-names":false,"suffix":""}],"container-title":"Cellular proteins and their ligand fatty acids—emerging roles in gene expression, health and disease.","editor":[{"dropping-particle":"","family":"Duttaroy","given":"AK;","non-dropping-particle":"","parse-names":false,"suffix":""},{"dropping-particle":"","family":"Spener","given":"F","non-dropping-particle":"","parse-names":false,"suffix":""}],"id":"ITEM-1","issued":{"date-parts":[["2003"]]},"page":"95–114.","publisher":"Wiley","publisher-place":"New York.","title":"Intracellular lipid binding proteins: evolution, structure, and ligand binding.","type":"chapter"},"uris":["http://www.mendeley.com/documents/?uuid=facbad5d-ecbb-487f-9aa0-fc4d2dd79124"]}],"mendeley":{"formattedCitation":"&lt;sup&gt;1&lt;/sup&gt;","plainTextFormattedCitation":"1","previouslyFormattedCitation":"&lt;sup&gt;1&lt;/sup&gt;"},"properties":{"noteIndex":0},"schema":"https://github.com/citation-style-language/schema/raw/master/csl-citation.json"}</w:instrText>
      </w:r>
      <w:r>
        <w:rPr/>
        <w:fldChar w:fldCharType="separate"/>
      </w:r>
      <w:bookmarkStart w:id="0" w:name="__Fieldmark__111_1299088308"/>
      <w:r>
        <w:rPr/>
      </w:r>
      <w:r>
        <w:rPr>
          <w:b w:val="false"/>
          <w:color w:val="000000"/>
          <w:sz w:val="24"/>
          <w:szCs w:val="24"/>
          <w:vertAlign w:val="superscript"/>
          <w:lang w:val="en-US"/>
        </w:rPr>
        <w:t>1</w:t>
      </w:r>
      <w:r>
        <w:rPr/>
      </w:r>
      <w:r>
        <w:rPr/>
        <w:fldChar w:fldCharType="end"/>
      </w:r>
      <w:bookmarkEnd w:id="0"/>
      <w:r>
        <w:rPr>
          <w:b w:val="false"/>
          <w:color w:val="000000"/>
          <w:sz w:val="24"/>
          <w:szCs w:val="24"/>
          <w:lang w:val="en-US"/>
        </w:rPr>
        <w:t>.</w:t>
      </w:r>
    </w:p>
    <w:p>
      <w:pPr>
        <w:pStyle w:val="BodyText2"/>
        <w:ind w:left="567" w:firstLine="709"/>
        <w:jc w:val="both"/>
        <w:rPr/>
      </w:pPr>
      <w:r>
        <w:rPr>
          <w:b w:val="false"/>
          <w:color w:val="000000"/>
          <w:sz w:val="24"/>
          <w:szCs w:val="24"/>
          <w:lang w:val="en-US"/>
        </w:rPr>
        <w:t>Among the LBPs, fatty acid binding proteins (FABPs) present preferential binding affinities for long-chain fatty acids</w:t>
      </w:r>
      <w:r>
        <w:fldChar w:fldCharType="begin"/>
      </w:r>
      <w:r>
        <w:rPr/>
        <w:instrText>ADDIN CSL_CITATION {"citationItems":[{"id":"ITEM-1","itemData":{"DOI":"10.1194/jlr.R800084-JLR200","author":[{"dropping-particle":"","family":"Storch","given":"J;","non-dropping-particle":"","parse-names":false,"suffix":""},{"dropping-particle":"","family":"McDermott","given":"L","non-dropping-particle":"","parse-names":false,"suffix":""}],"container-title":"J Lipid Res.","id":"ITEM-1","issued":{"date-parts":[["2009"]]},"page":"S126-S131","title":"Structural and functional analysis of fatty acid-binding proteins","type":"article-journal","volume":"50(Suppl)"},"uris":["http://www.mendeley.com/documents/?uuid=8892cd08-398e-40d6-a45d-b5cf8f5f32ed"]}],"mendeley":{"formattedCitation":"&lt;sup&gt;2&lt;/sup&gt;","plainTextFormattedCitation":"2","previouslyFormattedCitation":"&lt;sup&gt;2&lt;/sup&gt;"},"properties":{"noteIndex":0},"schema":"https://github.com/citation-style-language/schema/raw/master/csl-citation.json"}</w:instrText>
      </w:r>
      <w:r>
        <w:rPr/>
        <w:fldChar w:fldCharType="separate"/>
      </w:r>
      <w:bookmarkStart w:id="1" w:name="__Fieldmark__118_1299088308"/>
      <w:r>
        <w:rPr/>
      </w:r>
      <w:r>
        <w:rPr>
          <w:b w:val="false"/>
          <w:color w:val="000000"/>
          <w:sz w:val="24"/>
          <w:szCs w:val="24"/>
          <w:vertAlign w:val="superscript"/>
          <w:lang w:val="en-US"/>
        </w:rPr>
        <w:t>2</w:t>
      </w:r>
      <w:r>
        <w:rPr/>
      </w:r>
      <w:r>
        <w:rPr/>
        <w:fldChar w:fldCharType="end"/>
      </w:r>
      <w:bookmarkEnd w:id="1"/>
      <w:r>
        <w:rPr>
          <w:b w:val="false"/>
          <w:color w:val="000000"/>
          <w:sz w:val="24"/>
          <w:szCs w:val="24"/>
          <w:vertAlign w:val="superscript"/>
          <w:lang w:val="en-US"/>
        </w:rPr>
        <w:t>,</w:t>
      </w:r>
      <w:r>
        <w:fldChar w:fldCharType="begin"/>
      </w:r>
      <w:r>
        <w:rPr/>
        <w:instrText>ADDIN CSL_CITATION {"citationItems":[{"id":"ITEM-1","itemData":{"author":[{"dropping-particle":"","family":"Storch","given":"J;","non-dropping-particle":"","parse-names":false,"suffix":""},{"dropping-particle":"","family":"Corsico","given":"B","non-dropping-particle":"","parse-names":false,"suffix":""}],"container-title":"Annu. Rev. Nutr.","id":"ITEM-1","issued":{"date-parts":[["2008"]]},"page":"73–95.","title":"The emerging functions and mechanisms of mammalian fatty acid-binding proteins.","type":"article-journal","volume":"28"},"uris":["http://www.mendeley.com/documents/?uuid=c7d431af-b5c1-48a4-9c2a-222252c99603"]}],"mendeley":{"formattedCitation":"&lt;sup&gt;3&lt;/sup&gt;","plainTextFormattedCitation":"3","previouslyFormattedCitation":"&lt;sup&gt;3&lt;/sup&gt;"},"properties":{"noteIndex":0},"schema":"https://github.com/citation-style-language/schema/raw/master/csl-citation.json"}</w:instrText>
      </w:r>
      <w:r>
        <w:rPr/>
        <w:fldChar w:fldCharType="separate"/>
      </w:r>
      <w:bookmarkStart w:id="2" w:name="__Fieldmark__123_1299088308"/>
      <w:r>
        <w:rPr/>
      </w:r>
      <w:r>
        <w:rPr>
          <w:b w:val="false"/>
          <w:color w:val="000000"/>
          <w:sz w:val="24"/>
          <w:szCs w:val="24"/>
          <w:vertAlign w:val="superscript"/>
          <w:lang w:val="en-US"/>
        </w:rPr>
        <w:t>3</w:t>
      </w:r>
      <w:r>
        <w:rPr/>
      </w:r>
      <w:r>
        <w:rPr/>
        <w:fldChar w:fldCharType="end"/>
      </w:r>
      <w:bookmarkEnd w:id="2"/>
      <w:r>
        <w:rPr>
          <w:b w:val="false"/>
          <w:color w:val="000000"/>
          <w:sz w:val="24"/>
          <w:szCs w:val="24"/>
          <w:vertAlign w:val="superscript"/>
          <w:lang w:val="en-US"/>
        </w:rPr>
        <w:t>,</w:t>
      </w:r>
      <w:r>
        <w:fldChar w:fldCharType="begin"/>
      </w:r>
      <w:r>
        <w:rPr/>
        <w:instrText>ADDIN CSL_CITATION {"citationItems":[{"id":"ITEM-1","itemData":{"author":[{"dropping-particle":"","family":"Banaszak","given":"L;","non-dropping-particle":"","parse-names":false,"suffix":""},{"dropping-particle":"","family":"Winter","given":"N;","non-dropping-particle":"","parse-names":false,"suffix":""},{"dropping-particle":"","family":"Xu","given":"Z;","non-dropping-particle":"","parse-names":false,"suffix":""},{"dropping-particle":"","family":"Bernlohr","given":"DA;","non-dropping-particle":"","parse-names":false,"suffix":""},{"dropping-particle":"","family":"Cowan","given":"S;","non-dropping-particle":"","parse-names":false,"suffix":""},{"dropping-particle":"","family":"Jones","given":"TA.","non-dropping-particle":"","parse-names":false,"suffix":""}],"container-title":"Adv Protein Chem.","id":"ITEM-1","issued":{"date-parts":[["1994"]]},"page":"89-151.","title":"Lipid-binding proteins: a family of fatty acid and retinoid transport proteins.","type":"article-journal","volume":"45"},"uris":["http://www.mendeley.com/documents/?uuid=e3ab50a9-34d4-47de-8993-6353c739f8cc"]}],"mendeley":{"formattedCitation":"&lt;sup&gt;4&lt;/sup&gt;","plainTextFormattedCitation":"4","previouslyFormattedCitation":"&lt;sup&gt;4&lt;/sup&gt;"},"properties":{"noteIndex":0},"schema":"https://github.com/citation-style-language/schema/raw/master/csl-citation.json"}</w:instrText>
      </w:r>
      <w:r>
        <w:rPr/>
        <w:fldChar w:fldCharType="separate"/>
      </w:r>
      <w:bookmarkStart w:id="3" w:name="__Fieldmark__128_1299088308"/>
      <w:r>
        <w:rPr/>
      </w:r>
      <w:r>
        <w:rPr>
          <w:b w:val="false"/>
          <w:color w:val="000000"/>
          <w:sz w:val="24"/>
          <w:szCs w:val="24"/>
          <w:vertAlign w:val="superscript"/>
          <w:lang w:val="en-US"/>
        </w:rPr>
        <w:t>4</w:t>
      </w:r>
      <w:r>
        <w:rPr/>
      </w:r>
      <w:r>
        <w:rPr/>
        <w:fldChar w:fldCharType="end"/>
      </w:r>
      <w:bookmarkEnd w:id="3"/>
      <w:r>
        <w:rPr>
          <w:b w:val="false"/>
          <w:color w:val="000000"/>
          <w:sz w:val="24"/>
          <w:szCs w:val="24"/>
          <w:vertAlign w:val="superscript"/>
          <w:lang w:val="en-US"/>
        </w:rPr>
        <w:t>,</w:t>
      </w:r>
      <w:r>
        <w:fldChar w:fldCharType="begin"/>
      </w:r>
      <w:r>
        <w:rPr/>
        <w:instrText>ADDIN CSL_CITATION {"citationItems":[{"id":"ITEM-1","itemData":{"author":[{"dropping-particle":"","family":"Stewart","given":"J.","non-dropping-particle":"","parse-names":false,"suffix":""}],"container-title":"Cell. Mol. Life Sci.","id":"ITEM-1","issued":{"date-parts":[["2000"]]},"page":"1345–1359","title":"The cytoplasmic fatty-acid-binding proteins: thirty years and counting.","type":"article-journal","volume":"57"},"uris":["http://www.mendeley.com/documents/?uuid=39419a0a-4594-4eea-833c-45ca75c810f7"]}],"mendeley":{"formattedCitation":"&lt;sup&gt;5&lt;/sup&gt;","plainTextFormattedCitation":"5","previouslyFormattedCitation":"&lt;sup&gt;5&lt;/sup&gt;"},"properties":{"noteIndex":0},"schema":"https://github.com/citation-style-language/schema/raw/master/csl-citation.json"}</w:instrText>
      </w:r>
      <w:r>
        <w:rPr/>
        <w:fldChar w:fldCharType="separate"/>
      </w:r>
      <w:bookmarkStart w:id="4" w:name="__Fieldmark__133_1299088308"/>
      <w:r>
        <w:rPr/>
      </w:r>
      <w:r>
        <w:rPr>
          <w:b w:val="false"/>
          <w:color w:val="000000"/>
          <w:sz w:val="24"/>
          <w:szCs w:val="24"/>
          <w:vertAlign w:val="superscript"/>
          <w:lang w:val="en-US"/>
        </w:rPr>
        <w:t>5</w:t>
      </w:r>
      <w:r>
        <w:rPr/>
      </w:r>
      <w:r>
        <w:rPr/>
        <w:fldChar w:fldCharType="end"/>
      </w:r>
      <w:bookmarkEnd w:id="4"/>
      <w:r>
        <w:rPr>
          <w:b w:val="false"/>
          <w:color w:val="000000"/>
          <w:sz w:val="24"/>
          <w:szCs w:val="24"/>
          <w:vertAlign w:val="superscript"/>
          <w:lang w:val="en-US"/>
        </w:rPr>
        <w:t>,</w:t>
      </w:r>
      <w:r>
        <w:fldChar w:fldCharType="begin"/>
      </w:r>
      <w:r>
        <w:rPr/>
        <w:instrText>ADDIN CSL_CITATION {"citationItems":[{"id":"ITEM-1","itemData":{"DOI":"10.1529/biophysj.105.071571","author":[{"dropping-particle":"","family":"Friedman","given":"R;","non-dropping-particle":"","parse-names":false,"suffix":""},{"dropping-particle":"","family":"Nachliel","given":"E;","non-dropping-particle":"","parse-names":false,"suffix":""},{"dropping-particle":"","family":"Gutman","given":"M","non-dropping-particle":"","parse-names":false,"suffix":""}],"container-title":"Boiphys. J.","id":"ITEM-1","issue":"March","issued":{"date-parts":[["2006"]]},"page":"1535-1545","title":"Fatty Acid Binding Proteins : Same Structure but Different Binding Mechanisms ? Molecular Dynamics Simulations of Intestinal Fatty Acid Binding Protein","type":"article-journal","volume":"90"},"uris":["http://www.mendeley.com/documents/?uuid=8e95d7b8-7958-4617-926a-a4aec15d6d1f"]}],"mendeley":{"formattedCitation":"&lt;sup&gt;6&lt;/sup&gt;","plainTextFormattedCitation":"6","previouslyFormattedCitation":"&lt;sup&gt;6&lt;/sup&gt;"},"properties":{"noteIndex":0},"schema":"https://github.com/citation-style-language/schema/raw/master/csl-citation.json"}</w:instrText>
      </w:r>
      <w:r>
        <w:rPr/>
        <w:fldChar w:fldCharType="separate"/>
      </w:r>
      <w:bookmarkStart w:id="5" w:name="__Fieldmark__138_1299088308"/>
      <w:r>
        <w:rPr/>
      </w:r>
      <w:r>
        <w:rPr>
          <w:b w:val="false"/>
          <w:color w:val="000000"/>
          <w:sz w:val="24"/>
          <w:szCs w:val="24"/>
          <w:vertAlign w:val="superscript"/>
          <w:lang w:val="en-US"/>
        </w:rPr>
        <w:t>6</w:t>
      </w:r>
      <w:r>
        <w:rPr/>
      </w:r>
      <w:r>
        <w:rPr/>
        <w:fldChar w:fldCharType="end"/>
      </w:r>
      <w:bookmarkEnd w:id="5"/>
      <w:r>
        <w:rPr>
          <w:b w:val="false"/>
          <w:color w:val="000000"/>
          <w:sz w:val="24"/>
          <w:szCs w:val="24"/>
          <w:lang w:val="en-US"/>
        </w:rPr>
        <w:t>.  Despite their low sequence homology and their functional divergence relating to their particular lipid-binding preferences, they share a common tertiary structure</w:t>
      </w:r>
      <w:r>
        <w:fldChar w:fldCharType="begin"/>
      </w:r>
      <w:r>
        <w:rPr/>
        <w:instrText>ADDIN CSL_CITATION {"citationItems":[{"id":"ITEM-1","itemData":{"author":[{"dropping-particle":"","family":"Zimmerman","given":"A W","non-dropping-particle":"","parse-names":false,"suffix":""},{"dropping-particle":"","family":"Veerkamp","given":"J H","non-dropping-particle":"","parse-names":false,"suffix":""}],"container-title":"CMLS, Cell. Mol. Life Sci.","id":"ITEM-1","issued":{"date-parts":[["2002"]]},"page":"1096-1116","title":"New insights into the structure and function of fatty acid-binding proteins","type":"article-journal","volume":"59"},"uris":["http://www.mendeley.com/documents/?uuid=5fe3650f-f269-4ac7-9006-10b7311899c3"]}],"mendeley":{"formattedCitation":"&lt;sup&gt;7&lt;/sup&gt;","plainTextFormattedCitation":"7","previouslyFormattedCitation":"&lt;sup&gt;7&lt;/sup&gt;"},"properties":{"noteIndex":0},"schema":"https://github.com/citation-style-language/schema/raw/master/csl-citation.json"}</w:instrText>
      </w:r>
      <w:r>
        <w:rPr/>
        <w:fldChar w:fldCharType="separate"/>
      </w:r>
      <w:bookmarkStart w:id="6" w:name="__Fieldmark__144_1299088308"/>
      <w:r>
        <w:rPr/>
      </w:r>
      <w:r>
        <w:rPr>
          <w:b w:val="false"/>
          <w:color w:val="000000"/>
          <w:sz w:val="24"/>
          <w:szCs w:val="24"/>
          <w:vertAlign w:val="superscript"/>
          <w:lang w:val="en-US"/>
        </w:rPr>
        <w:t>7</w:t>
      </w:r>
      <w:r>
        <w:rPr/>
      </w:r>
      <w:r>
        <w:rPr/>
        <w:fldChar w:fldCharType="end"/>
      </w:r>
      <w:bookmarkEnd w:id="6"/>
      <w:r>
        <w:rPr>
          <w:b w:val="false"/>
          <w:color w:val="000000"/>
          <w:sz w:val="24"/>
          <w:szCs w:val="24"/>
          <w:vertAlign w:val="superscript"/>
          <w:lang w:val="en-US"/>
        </w:rPr>
        <w:t>,</w:t>
      </w:r>
      <w:r>
        <w:fldChar w:fldCharType="begin"/>
      </w:r>
      <w:r>
        <w:rPr/>
        <w:instrText>ADDIN CSL_CITATION {"citationItems":[{"id":"ITEM-1","itemData":{"author":[{"dropping-particle":"","family":"Veerkamp","given":"JH;","non-dropping-particle":"","parse-names":false,"suffix":""},{"dropping-particle":"","family":"Peeters","given":"RA;","non-dropping-particle":"","parse-names":false,"suffix":""},{"dropping-particle":"","family":"RGHJ","given":"Maatman","non-dropping-particle":"","parse-names":false,"suffix":""}],"container-title":"Biochim. Biophys. Acta","id":"ITEM-1","issued":{"date-parts":[["1991"]]},"page":"1-24","title":"Structural and functional features of different types of cytoplasmic fatty acid-binding","type":"article-journal","volume":"1081"},"uris":["http://www.mendeley.com/documents/?uuid=6346406d-e0e1-442d-92a0-ad871f49fa4b"]}],"mendeley":{"formattedCitation":"&lt;sup&gt;8&lt;/sup&gt;","plainTextFormattedCitation":"8","previouslyFormattedCitation":"&lt;sup&gt;8&lt;/sup&gt;"},"properties":{"noteIndex":0},"schema":"https://github.com/citation-style-language/schema/raw/master/csl-citation.json"}</w:instrText>
      </w:r>
      <w:r>
        <w:rPr/>
        <w:fldChar w:fldCharType="separate"/>
      </w:r>
      <w:bookmarkStart w:id="7" w:name="__Fieldmark__149_1299088308"/>
      <w:r>
        <w:rPr/>
      </w:r>
      <w:r>
        <w:rPr>
          <w:b w:val="false"/>
          <w:color w:val="000000"/>
          <w:sz w:val="24"/>
          <w:szCs w:val="24"/>
          <w:vertAlign w:val="superscript"/>
          <w:lang w:val="en-US"/>
        </w:rPr>
        <w:t>8</w:t>
      </w:r>
      <w:r>
        <w:rPr/>
      </w:r>
      <w:r>
        <w:rPr/>
        <w:fldChar w:fldCharType="end"/>
      </w:r>
      <w:bookmarkEnd w:id="7"/>
      <w:r>
        <w:rPr>
          <w:b w:val="false"/>
          <w:color w:val="000000"/>
          <w:sz w:val="24"/>
          <w:szCs w:val="24"/>
          <w:lang w:val="en-US"/>
        </w:rPr>
        <w:t>. They all have similar β-barrel structures that encase the bound fatty acid. The volume of the inner ligand-binding cavity is determined by the sidechains of the residues that define the molecular surface enclosing it. These residues vary between the different FABP types determining also the ligand specificity of the cavity. Various single point mutations performed on residues lining the cavity of different FABP types have been shown to modify their ligand specificity and affinity, and protein conformational stability</w:t>
      </w:r>
      <w:r>
        <w:fldChar w:fldCharType="begin"/>
      </w:r>
      <w:r>
        <w:rPr/>
        <w:instrText>ADDIN CSL_CITATION {"citationItems":[{"id":"ITEM-1","itemData":{"author":[{"dropping-particle":"","family":"Sha","given":"RS;","non-dropping-particle":"","parse-names":false,"suffix":""},{"dropping-particle":"","family":"Kane","given":"CD;","non-dropping-particle":"","parse-names":false,"suffix":""},{"dropping-particle":"","family":"Xu","given":"Z;","non-dropping-particle":"","parse-names":false,"suffix":""},{"dropping-particle":"","family":"Banaszak","given":"LJ;","non-dropping-particle":"","parse-names":false,"suffix":""},{"dropping-particle":"","family":"Bernlohr","given":"DP","non-dropping-particle":"","parse-names":false,"suffix":""}],"container-title":"J. Biol. Chem.","id":"ITEM-1","issued":{"date-parts":[["1993"]]},"page":"7885–7892","title":"Modulation of ligand binding affinity of the adipocyte lipid-binding protein by selective mutation: analysis in vitro and in situ.","type":"article-journal","volume":"268"},"uris":["http://www.mendeley.com/documents/?uuid=b62e745b-6af0-4af4-9f00-c8bfab0cb946"]}],"mendeley":{"formattedCitation":"&lt;sup&gt;9&lt;/sup&gt;","plainTextFormattedCitation":"9","previouslyFormattedCitation":"&lt;sup&gt;9&lt;/sup&gt;"},"properties":{"noteIndex":0},"schema":"https://github.com/citation-style-language/schema/raw/master/csl-citation.json"}</w:instrText>
      </w:r>
      <w:r>
        <w:rPr/>
        <w:fldChar w:fldCharType="separate"/>
      </w:r>
      <w:bookmarkStart w:id="8" w:name="__Fieldmark__160_1299088308"/>
      <w:r>
        <w:rPr/>
      </w:r>
      <w:r>
        <w:rPr>
          <w:b w:val="false"/>
          <w:color w:val="000000"/>
          <w:sz w:val="24"/>
          <w:szCs w:val="24"/>
          <w:vertAlign w:val="superscript"/>
          <w:lang w:val="en-US"/>
        </w:rPr>
        <w:t>9</w:t>
      </w:r>
      <w:r>
        <w:rPr/>
      </w:r>
      <w:r>
        <w:rPr/>
        <w:fldChar w:fldCharType="end"/>
      </w:r>
      <w:bookmarkEnd w:id="8"/>
      <w:r>
        <w:rPr>
          <w:b w:val="false"/>
          <w:color w:val="000000"/>
          <w:sz w:val="24"/>
          <w:szCs w:val="24"/>
          <w:vertAlign w:val="superscript"/>
          <w:lang w:val="en-US"/>
        </w:rPr>
        <w:t>,</w:t>
      </w:r>
      <w:r>
        <w:fldChar w:fldCharType="begin"/>
      </w:r>
      <w:r>
        <w:rPr/>
        <w:instrText>ADDIN CSL_CITATION {"citationItems":[{"id":"ITEM-1","itemData":{"author":[{"dropping-particle":"","family":"Prinsen","given":"CFM;","non-dropping-particle":"","parse-names":false,"suffix":""},{"dropping-particle":"","family":"Veerkamp","given":"JH","non-dropping-particle":"","parse-names":false,"suffix":""}],"container-title":"Biochem. J.","id":"ITEM-1","issued":{"date-parts":[["1996"]]},"page":"253–260","title":"Fatty acid binding and conformational stability of mutants of human muscle fatty acid-binding protein.","type":"article-journal","volume":"314"},"uris":["http://www.mendeley.com/documents/?uuid=b2c0b0a7-e837-4687-b0f7-317a0b98b468"]}],"mendeley":{"formattedCitation":"&lt;sup&gt;10&lt;/sup&gt;","plainTextFormattedCitation":"10","previouslyFormattedCitation":"&lt;sup&gt;10&lt;/sup&gt;"},"properties":{"noteIndex":0},"schema":"https://github.com/citation-style-language/schema/raw/master/csl-citation.json"}</w:instrText>
      </w:r>
      <w:r>
        <w:rPr/>
        <w:fldChar w:fldCharType="separate"/>
      </w:r>
      <w:bookmarkStart w:id="9" w:name="__Fieldmark__165_1299088308"/>
      <w:r>
        <w:rPr/>
      </w:r>
      <w:r>
        <w:rPr>
          <w:b w:val="false"/>
          <w:color w:val="000000"/>
          <w:sz w:val="24"/>
          <w:szCs w:val="24"/>
          <w:vertAlign w:val="superscript"/>
          <w:lang w:val="en-US"/>
        </w:rPr>
        <w:t>10</w:t>
      </w:r>
      <w:r>
        <w:rPr/>
      </w:r>
      <w:r>
        <w:rPr/>
        <w:fldChar w:fldCharType="end"/>
      </w:r>
      <w:bookmarkEnd w:id="9"/>
      <w:r>
        <w:rPr>
          <w:b w:val="false"/>
          <w:color w:val="000000"/>
          <w:sz w:val="24"/>
          <w:szCs w:val="24"/>
          <w:vertAlign w:val="superscript"/>
          <w:lang w:val="en-US"/>
        </w:rPr>
        <w:t>,</w:t>
      </w:r>
      <w:r>
        <w:fldChar w:fldCharType="begin"/>
      </w:r>
      <w:r>
        <w:rPr/>
        <w:instrText>ADDIN CSL_CITATION {"citationItems":[{"id":"ITEM-1","itemData":{"author":[{"dropping-particle":"","family":"Jakoby","given":"MG;","non-dropping-particle":"","parse-names":false,"suffix":""},{"dropping-particle":"","family":"Miller","given":"KR;","non-dropping-particle":"","parse-names":false,"suffix":""},{"dropping-particle":"","family":"Toner","given":"JJ;","non-dropping-particle":"","parse-names":false,"suffix":""},{"dropping-particle":"","family":"Bauman","given":"A;","non-dropping-particle":"","parse-names":false,"suffix":""},{"dropping-particle":"","family":"Cheng","given":"L;","non-dropping-particle":"","parse-names":false,"suffix":""},{"dropping-particle":"","family":"Li","given":"E;","non-dropping-particle":"","parse-names":false,"suffix":""},{"dropping-particle":"","family":"et. al.","given":"","non-dropping-particle":"","parse-names":false,"suffix":""}],"container-title":"Biochemistry","id":"ITEM-1","issued":{"date-parts":[["1993"]]},"page":"872–878","title":"Ligand-protein electrostatic interactions govern the specificity of retinol- and fatty acid-binding proteins.","type":"article-journal","volume":"32"},"uris":["http://www.mendeley.com/documents/?uuid=57b3a406-3343-4973-a0be-495f5a752c44"]}],"mendeley":{"formattedCitation":"&lt;sup&gt;11&lt;/sup&gt;","plainTextFormattedCitation":"11","previouslyFormattedCitation":"&lt;sup&gt;11&lt;/sup&gt;"},"properties":{"noteIndex":0},"schema":"https://github.com/citation-style-language/schema/raw/master/csl-citation.json"}</w:instrText>
      </w:r>
      <w:r>
        <w:rPr/>
        <w:fldChar w:fldCharType="separate"/>
      </w:r>
      <w:bookmarkStart w:id="10" w:name="__Fieldmark__170_1299088308"/>
      <w:r>
        <w:rPr/>
      </w:r>
      <w:r>
        <w:rPr>
          <w:b w:val="false"/>
          <w:color w:val="000000"/>
          <w:sz w:val="24"/>
          <w:szCs w:val="24"/>
          <w:vertAlign w:val="superscript"/>
          <w:lang w:val="en-US"/>
        </w:rPr>
        <w:t>11</w:t>
      </w:r>
      <w:r>
        <w:rPr/>
      </w:r>
      <w:r>
        <w:rPr/>
        <w:fldChar w:fldCharType="end"/>
      </w:r>
      <w:bookmarkEnd w:id="10"/>
      <w:r>
        <w:rPr>
          <w:b w:val="false"/>
          <w:color w:val="000000"/>
          <w:sz w:val="24"/>
          <w:szCs w:val="24"/>
          <w:vertAlign w:val="superscript"/>
          <w:lang w:val="en-US"/>
        </w:rPr>
        <w:t>,</w:t>
      </w:r>
      <w:r>
        <w:fldChar w:fldCharType="begin"/>
      </w:r>
      <w:r>
        <w:rPr/>
        <w:instrText>ADDIN CSL_CITATION {"citationItems":[{"id":"ITEM-1","itemData":{"author":[{"dropping-particle":"","family":"Thumser","given":"AEA;","non-dropping-particle":"","parse-names":false,"suffix":""},{"dropping-particle":"","family":"Evans","given":"C;","non-dropping-particle":"","parse-names":false,"suffix":""},{"dropping-particle":"","family":"Worrall","given":"AF;","non-dropping-particle":"","parse-names":false,"suffix":""},{"dropping-particle":"","family":"Wilton","given":"DC","non-dropping-particle":"","parse-names":false,"suffix":""}],"container-title":"Biochem. J.","id":"ITEM-1","issued":{"date-parts":[["1994"]]},"page":"103–107","title":"Effect on ligand binding of arginine mutations in recombinant rat liver fatty acid-binding protein.","type":"article-journal","volume":"297"},"uris":["http://www.mendeley.com/documents/?uuid=f63c88eb-fc69-4dac-8783-494473415d22"]}],"mendeley":{"formattedCitation":"&lt;sup&gt;12&lt;/sup&gt;","plainTextFormattedCitation":"12","previouslyFormattedCitation":"&lt;sup&gt;12&lt;/sup&gt;"},"properties":{"noteIndex":0},"schema":"https://github.com/citation-style-language/schema/raw/master/csl-citation.json"}</w:instrText>
      </w:r>
      <w:r>
        <w:rPr/>
        <w:fldChar w:fldCharType="separate"/>
      </w:r>
      <w:bookmarkStart w:id="11" w:name="__Fieldmark__175_1299088308"/>
      <w:r>
        <w:rPr/>
      </w:r>
      <w:r>
        <w:rPr>
          <w:b w:val="false"/>
          <w:color w:val="000000"/>
          <w:sz w:val="24"/>
          <w:szCs w:val="24"/>
          <w:vertAlign w:val="superscript"/>
          <w:lang w:val="en-US"/>
        </w:rPr>
        <w:t>12</w:t>
      </w:r>
      <w:r>
        <w:rPr/>
      </w:r>
      <w:r>
        <w:rPr/>
        <w:fldChar w:fldCharType="end"/>
      </w:r>
      <w:bookmarkEnd w:id="11"/>
      <w:r>
        <w:rPr>
          <w:b w:val="false"/>
          <w:color w:val="000000"/>
          <w:sz w:val="24"/>
          <w:szCs w:val="24"/>
          <w:vertAlign w:val="superscript"/>
          <w:lang w:val="en-US"/>
        </w:rPr>
        <w:t>,</w:t>
      </w:r>
      <w:r>
        <w:fldChar w:fldCharType="begin"/>
      </w:r>
      <w:r>
        <w:rPr/>
        <w:instrText>ADDIN CSL_CITATION {"citationItems":[{"id":"ITEM-1","itemData":{"author":[{"dropping-particle":"","family":"Thumser","given":"AEA;","non-dropping-particle":"","parse-names":false,"suffix":""},{"dropping-particle":"","family":"Voysey","given":"J;","non-dropping-particle":"","parse-names":false,"suffix":""},{"dropping-particle":"","family":"Wilton","given":"DC","non-dropping-particle":"","parse-names":false,"suffix":""}],"container-title":"Biochem. J.","id":"ITEM-1","issued":{"date-parts":[["1996"]]},"page":"943–949","title":"Mutations of recombinant rat liver fatty acid-binding protein at residues 102 and 122 alter its structural integrity and affinity for physiological ligands.","type":"article-journal","volume":"314"},"uris":["http://www.mendeley.com/documents/?uuid=359e876a-7499-4601-aa90-88d96128d636"]}],"mendeley":{"formattedCitation":"&lt;sup&gt;13&lt;/sup&gt;","plainTextFormattedCitation":"13","previouslyFormattedCitation":"&lt;sup&gt;13&lt;/sup&gt;"},"properties":{"noteIndex":0},"schema":"https://github.com/citation-style-language/schema/raw/master/csl-citation.json"}</w:instrText>
      </w:r>
      <w:r>
        <w:rPr/>
        <w:fldChar w:fldCharType="separate"/>
      </w:r>
      <w:bookmarkStart w:id="12" w:name="__Fieldmark__180_1299088308"/>
      <w:r>
        <w:rPr/>
      </w:r>
      <w:r>
        <w:rPr>
          <w:b w:val="false"/>
          <w:color w:val="000000"/>
          <w:sz w:val="24"/>
          <w:szCs w:val="24"/>
          <w:vertAlign w:val="superscript"/>
          <w:lang w:val="en-US"/>
        </w:rPr>
        <w:t>13</w:t>
      </w:r>
      <w:r>
        <w:rPr/>
      </w:r>
      <w:r>
        <w:rPr/>
        <w:fldChar w:fldCharType="end"/>
      </w:r>
      <w:bookmarkEnd w:id="12"/>
      <w:r>
        <w:rPr>
          <w:b w:val="false"/>
          <w:color w:val="000000"/>
          <w:sz w:val="24"/>
          <w:szCs w:val="24"/>
          <w:lang w:val="en-US"/>
        </w:rPr>
        <w:t>.</w:t>
      </w:r>
    </w:p>
    <w:p>
      <w:pPr>
        <w:pStyle w:val="BodyText2"/>
        <w:ind w:left="567" w:firstLine="709"/>
        <w:jc w:val="both"/>
        <w:rPr/>
      </w:pPr>
      <w:r>
        <w:rPr>
          <w:b w:val="false"/>
          <w:color w:val="000000"/>
          <w:sz w:val="24"/>
          <w:szCs w:val="24"/>
          <w:lang w:val="en-US"/>
        </w:rPr>
        <w:t>While FABPs can be found in vertebrates and invertebrates, unusual and unique classes of LBPs, the fatty acid- and retinoid-binding proteins (FARs) have been found exclusively in nematodes</w:t>
      </w:r>
      <w:r>
        <w:fldChar w:fldCharType="begin"/>
      </w:r>
      <w:r>
        <w:rPr/>
        <w:instrText>ADDIN CSL_CITATION {"citationItems":[{"id":"ITEM-1","itemData":{"author":[{"dropping-particle":"","family":"McDermott","given":"L;","non-dropping-particle":"","parse-names":false,"suffix":""},{"dropping-particle":"","family":"Cooper","given":"A;","non-dropping-particle":"","parse-names":false,"suffix":""},{"dropping-particle":"","family":"Kennedy","given":"MW","non-dropping-particle":"","parse-names":false,"suffix":""}],"container-title":"Molecular and Cellular Biochemistry","id":"ITEM-1","issued":{"date-parts":[["1999"]]},"page":"69-75","title":"Novel classes of fatty acid and retinol binding protein from nematodes","type":"article-journal","volume":"192"},"uris":["http://www.mendeley.com/documents/?uuid=57318940-ed88-4716-b2b0-f7dd20e98561"]}],"mendeley":{"formattedCitation":"&lt;sup&gt;14&lt;/sup&gt;","plainTextFormattedCitation":"14","previouslyFormattedCitation":"&lt;sup&gt;14&lt;/sup&gt;"},"properties":{"noteIndex":0},"schema":"https://github.com/citation-style-language/schema/raw/master/csl-citation.json"}</w:instrText>
      </w:r>
      <w:r>
        <w:rPr/>
        <w:fldChar w:fldCharType="separate"/>
      </w:r>
      <w:bookmarkStart w:id="13" w:name="__Fieldmark__192_1299088308"/>
      <w:r>
        <w:rPr/>
      </w:r>
      <w:r>
        <w:rPr>
          <w:b w:val="false"/>
          <w:color w:val="000000"/>
          <w:sz w:val="24"/>
          <w:szCs w:val="24"/>
          <w:vertAlign w:val="superscript"/>
          <w:lang w:val="en-US"/>
        </w:rPr>
        <w:t>14</w:t>
      </w:r>
      <w:r>
        <w:rPr/>
      </w:r>
      <w:r>
        <w:rPr/>
        <w:fldChar w:fldCharType="end"/>
      </w:r>
      <w:bookmarkEnd w:id="13"/>
      <w:r>
        <w:rPr>
          <w:b w:val="false"/>
          <w:color w:val="000000"/>
          <w:sz w:val="24"/>
          <w:szCs w:val="24"/>
          <w:lang w:val="en-US"/>
        </w:rPr>
        <w:t xml:space="preserve">. Parasitic worms possess limited lipid metabolism and depend on import of essential lipids from their host </w:t>
      </w:r>
      <w:r>
        <w:fldChar w:fldCharType="begin"/>
      </w:r>
      <w:r>
        <w:rPr/>
        <w:instrText>ADDIN CSL_CITATION {"citationItems":[{"id":"ITEM-1","itemData":{"author":[{"dropping-particle":"","family":"Barrett","given":"J.","non-dropping-particle":"","parse-names":false,"suffix":""}],"id":"ITEM-1","issued":{"date-parts":[["2001"]]},"number-of-pages":"309–334","publisher":"Science Publishers Inc","publisher-place":"Enfield, NH","title":"Perspectives on Helminthology","type":"book"},"uris":["http://www.mendeley.com/documents/?uuid=fd815d00-e98d-44fe-85b7-9c01e97c1dd5"]}],"mendeley":{"formattedCitation":"&lt;sup&gt;15&lt;/sup&gt;","plainTextFormattedCitation":"15","previouslyFormattedCitation":"&lt;sup&gt;15&lt;/sup&gt;"},"properties":{"noteIndex":0},"schema":"https://github.com/citation-style-language/schema/raw/master/csl-citation.json"}</w:instrText>
      </w:r>
      <w:r>
        <w:rPr/>
        <w:fldChar w:fldCharType="separate"/>
      </w:r>
      <w:bookmarkStart w:id="14" w:name="__Fieldmark__199_1299088308"/>
      <w:r>
        <w:rPr/>
      </w:r>
      <w:r>
        <w:rPr>
          <w:b w:val="false"/>
          <w:color w:val="000000"/>
          <w:sz w:val="24"/>
          <w:szCs w:val="24"/>
          <w:vertAlign w:val="superscript"/>
          <w:lang w:val="en-US"/>
        </w:rPr>
        <w:t>15</w:t>
      </w:r>
      <w:r>
        <w:rPr/>
      </w:r>
      <w:r>
        <w:rPr/>
        <w:fldChar w:fldCharType="end"/>
      </w:r>
      <w:bookmarkEnd w:id="14"/>
      <w:r>
        <w:rPr>
          <w:b w:val="false"/>
          <w:color w:val="000000"/>
          <w:sz w:val="24"/>
          <w:szCs w:val="24"/>
          <w:lang w:val="en-US"/>
        </w:rPr>
        <w:t>. FARs are secreted from the parasite into the host tissues and they have been proposed to play a role in the nutrient acquisition by the parasite and in reproduction in the male. Therefore, they are suitable targets for anthelmintic drugs and vaccine development</w:t>
      </w:r>
      <w:r>
        <w:fldChar w:fldCharType="begin"/>
      </w:r>
      <w:r>
        <w:rPr/>
        <w:instrText>ADDIN CSL_CITATION {"citationItems":[{"id":"ITEM-1","itemData":{"ISBN":"1111111111","author":[{"dropping-particle":"","family":"Zhan","given":"B;","non-dropping-particle":"","parse-names":false,"suffix":""},{"dropping-particle":"","family":"Arumugam","given":"S;","non-dropping-particle":"","parse-names":false,"suffix":""},{"dropping-particle":"","family":"Kennedy","given":"MW;","non-dropping-particle":"","parse-names":false,"suffix":""},{"dropping-particle":"","family":"Tricoche","given":"N;","non-dropping-particle":"","parse-names":false,"suffix":""},{"dropping-particle":"","family":"Lian","given":"L-Y;","non-dropping-particle":"","parse-names":false,"suffix":""},{"dropping-particle":"","family":"Asojo","given":"OA;","non-dropping-particle":"","parse-names":false,"suffix":""},{"dropping-particle":"","family":"Bennuru","given":"S;","non-dropping-particle":"","parse-names":false,"suffix":""},{"dropping-particle":"","family":"Bottazzi","given":"ME;","non-dropping-particle":"","parse-names":false,"suffix":""},{"dropping-particle":"","family":"Hotez","given":"PJ;","non-dropping-particle":"","parse-names":false,"suffix":""},{"dropping-particle":"","family":"Id","given":"SL;","non-dropping-particle":"","parse-names":false,"suffix":""},{"dropping-particle":"","family":"Klei","given":"TR","non-dropping-particle":"","parse-names":false,"suffix":""}],"container-title":"PLOS Negl Trop Dis","id":"ITEM-1","issue":"10","issued":{"date-parts":[["2018"]]},"page":"e0006772","title":"Ligand binding properties of two Brugia malayi fatty acid and retinol ( FAR ) binding proteins and their vaccine efficacies against challenge infection in gerbils","type":"article-journal","volume":"12"},"uris":["http://www.mendeley.com/documents/?uuid=ea935722-531c-431c-8cc1-9ce9725919c6"]}],"mendeley":{"formattedCitation":"&lt;sup&gt;16&lt;/sup&gt;","plainTextFormattedCitation":"16","previouslyFormattedCitation":"&lt;sup&gt;16&lt;/sup&gt;"},"properties":{"noteIndex":0},"schema":"https://github.com/citation-style-language/schema/raw/master/csl-citation.json"}</w:instrText>
      </w:r>
      <w:r>
        <w:rPr/>
        <w:fldChar w:fldCharType="separate"/>
      </w:r>
      <w:bookmarkStart w:id="15" w:name="__Fieldmark__213_1299088308"/>
      <w:r>
        <w:rPr/>
      </w:r>
      <w:r>
        <w:rPr>
          <w:b w:val="false"/>
          <w:color w:val="000000"/>
          <w:sz w:val="24"/>
          <w:szCs w:val="24"/>
          <w:vertAlign w:val="superscript"/>
          <w:lang w:val="en-US"/>
        </w:rPr>
        <w:t>16</w:t>
      </w:r>
      <w:r>
        <w:rPr/>
      </w:r>
      <w:r>
        <w:rPr/>
        <w:fldChar w:fldCharType="end"/>
      </w:r>
      <w:bookmarkEnd w:id="15"/>
      <w:r>
        <w:rPr>
          <w:b w:val="false"/>
          <w:color w:val="000000"/>
          <w:sz w:val="24"/>
          <w:szCs w:val="24"/>
          <w:lang w:val="en-US"/>
        </w:rPr>
        <w:t xml:space="preserve">. For this purpose, a better knowledge of their structure-dynamics-function relationships is required. </w:t>
      </w:r>
    </w:p>
    <w:p>
      <w:pPr>
        <w:pStyle w:val="BodyText2"/>
        <w:ind w:left="567" w:firstLine="709"/>
        <w:jc w:val="both"/>
        <w:rPr/>
      </w:pPr>
      <w:r>
        <w:rPr>
          <w:b w:val="false"/>
          <w:color w:val="000000"/>
          <w:sz w:val="24"/>
          <w:szCs w:val="24"/>
          <w:lang w:val="en-US"/>
        </w:rPr>
        <w:t xml:space="preserve">Differently from the β-rich FABPs, FARs are highly helical proteins. While nematodes also produce β-barrel FABPs, the reasons why nematodes have </w:t>
      </w:r>
      <w:r>
        <w:rPr>
          <w:b w:val="false"/>
          <w:color w:val="000000" w:themeColor="text1"/>
          <w:sz w:val="24"/>
          <w:szCs w:val="24"/>
          <w:lang w:val="en-US"/>
        </w:rPr>
        <w:t>specialized in the use of α-helix rich proteins</w:t>
      </w:r>
      <w:r>
        <w:rPr>
          <w:b w:val="false"/>
          <w:color w:val="000000"/>
          <w:sz w:val="24"/>
          <w:szCs w:val="24"/>
          <w:lang w:val="en-US"/>
        </w:rPr>
        <w:t xml:space="preserve"> remains unclear. At the present time, two orthologues FAR structures were solved, one from Necator americanus (Na-FAR-1 by protein nuclear magnetic resonance (NMR) and x-ray crystallography; PDB: 4UET and 4XCP, respectively)</w:t>
      </w:r>
      <w:r>
        <w:fldChar w:fldCharType="begin"/>
      </w:r>
      <w:r>
        <w:rPr/>
        <w:instrText>ADDIN CSL_CITATION {"citationItems":[{"id":"ITEM-1","itemData":{"DOI":"10.1042/BJ20150068","author":[{"dropping-particle":"","family":"Rey-Burusco","given":"MF;","non-dropping-particle":"","parse-names":false,"suffix":""},{"dropping-particle":"","family":"Ibañez-Shimabukuro","given":"M;","non-dropping-particle":"","parse-names":false,"suffix":""},{"dropping-particle":"","family":"Gabrielsen","given":"M;","non-dropping-particle":"","parse-names":false,"suffix":""},{"dropping-particle":"","family":"Franchini","given":"GR;","non-dropping-particle":"","parse-names":false,"suffix":""},{"dropping-particle":"","family":"Roe","given":"AJ;","non-dropping-particle":"","parse-names":false,"suffix":""},{"dropping-particle":"","family":"Smith","given":"BO;","non-dropping-particle":"","parse-names":false,"suffix":""},{"dropping-particle":"","family":"Griffiths","given":"K;","non-dropping-particle":"","parse-names":false,"suffix":""},{"dropping-particle":"","family":"Zhan","given":"B;","non-dropping-particle":"","parse-names":false,"suffix":""},{"dropping-particle":"","family":"Cooper","given":"A;","non-dropping-particle":"","parse-names":false,"suffix":""},{"dropping-particle":"","family":"Kennedy","given":"MW;","non-dropping-particle":"","parse-names":false,"suffix":""},{"dropping-particle":"","family":"Betina","given":"C","non-dropping-particle":"","parse-names":false,"suffix":""}],"container-title":"Biochem. J.","id":"ITEM-1","issued":{"date-parts":[["2015"]]},"page":"403-414","title":"Diversity in the structures and ligand-binding sites of nematode fatty acid and retinol-binding proteins revealed by Na-FAR-1 from Necator americanus","type":"article-journal","volume":"471"},"uris":["http://www.mendeley.com/documents/?uuid=88476f14-8909-4525-b9d6-0cd303b633bf"]}],"mendeley":{"formattedCitation":"&lt;sup&gt;17&lt;/sup&gt;","plainTextFormattedCitation":"17","previouslyFormattedCitation":"&lt;sup&gt;17&lt;/sup&gt;"},"properties":{"noteIndex":0},"schema":"https://github.com/citation-style-language/schema/raw/master/csl-citation.json"}</w:instrText>
      </w:r>
      <w:r>
        <w:rPr/>
        <w:fldChar w:fldCharType="separate"/>
      </w:r>
      <w:bookmarkStart w:id="16" w:name="__Fieldmark__257_1299088308"/>
      <w:r>
        <w:rPr/>
      </w:r>
      <w:r>
        <w:rPr>
          <w:b w:val="false"/>
          <w:color w:val="000000"/>
          <w:sz w:val="24"/>
          <w:szCs w:val="24"/>
          <w:vertAlign w:val="superscript"/>
          <w:lang w:val="en-US"/>
        </w:rPr>
        <w:t>17</w:t>
      </w:r>
      <w:r>
        <w:rPr/>
      </w:r>
      <w:r>
        <w:rPr/>
        <w:fldChar w:fldCharType="end"/>
      </w:r>
      <w:bookmarkEnd w:id="16"/>
      <w:r>
        <w:rPr>
          <w:b w:val="false"/>
          <w:color w:val="000000"/>
          <w:sz w:val="24"/>
          <w:szCs w:val="24"/>
          <w:lang w:val="en-US"/>
        </w:rPr>
        <w:t>, and another from Caenorhabditis elegans (Ce-FAR-7, by x-ray crystallography; PDB: 2W9Y)</w:t>
      </w:r>
      <w:r>
        <w:fldChar w:fldCharType="begin"/>
      </w:r>
      <w:r>
        <w:rPr/>
        <w:instrText>ADDIN CSL_CITATION {"citationItems":[{"id":"ITEM-1","itemData":{"DOI":"10.1074/jbc.M109.022731","author":[{"dropping-particle":"","family":"Jordanova","given":"R;","non-dropping-particle":"","parse-names":false,"suffix":""},{"dropping-particle":"","family":"Groves","given":"MR;","non-dropping-particle":"","parse-names":false,"suffix":""},{"dropping-particle":"","family":"Kostova","given":"E;","non-dropping-particle":"","parse-names":false,"suffix":""},{"dropping-particle":"","family":"Woltersdorf","given":"C;","non-dropping-particle":"","parse-names":false,"suffix":""},{"dropping-particle":"","family":"Liebau","given":"E;","non-dropping-particle":"","parse-names":false,"suffix":""},{"dropping-particle":"","family":"Tucker","given":"PA","non-dropping-particle":"","parse-names":false,"suffix":""}],"container-title":"J. Biol. Chem.","id":"ITEM-1","issue":"51","issued":{"date-parts":[["2009"]]},"page":"35818-35826","title":"Fatty Acid- and Retinoid-binding Proteins Have Distinct Binding Pockets for the Two Types of Cargo","type":"article-journal","volume":"284"},"uris":["http://www.mendeley.com/documents/?uuid=921ff5e5-c673-474a-9e5b-79b2314777a4"]}],"mendeley":{"formattedCitation":"&lt;sup&gt;18&lt;/sup&gt;","plainTextFormattedCitation":"18","previouslyFormattedCitation":"&lt;sup&gt;18&lt;/sup&gt;"},"properties":{"noteIndex":0},"schema":"https://github.com/citation-style-language/schema/raw/master/csl-citation.json"}</w:instrText>
      </w:r>
      <w:r>
        <w:rPr/>
        <w:fldChar w:fldCharType="separate"/>
      </w:r>
      <w:bookmarkStart w:id="17" w:name="__Fieldmark__267_1299088308"/>
      <w:r>
        <w:rPr/>
      </w:r>
      <w:r>
        <w:rPr>
          <w:b w:val="false"/>
          <w:color w:val="000000"/>
          <w:sz w:val="24"/>
          <w:szCs w:val="24"/>
          <w:vertAlign w:val="superscript"/>
          <w:lang w:val="en-US"/>
        </w:rPr>
        <w:t>18</w:t>
      </w:r>
      <w:r>
        <w:rPr/>
      </w:r>
      <w:r>
        <w:rPr/>
        <w:fldChar w:fldCharType="end"/>
      </w:r>
      <w:bookmarkEnd w:id="17"/>
      <w:r>
        <w:rPr>
          <w:b w:val="false"/>
          <w:color w:val="000000"/>
          <w:sz w:val="24"/>
          <w:szCs w:val="24"/>
          <w:lang w:val="en-US"/>
        </w:rPr>
        <w:t xml:space="preserve">. Both present similar overall α helix-rich structures with certain structural differences. Particularly, the size and shape of their internal cavities are different, denoting differences in their ligand selectivity.  Na-FAR-1, in either its </w:t>
      </w:r>
      <w:r>
        <w:rPr>
          <w:b w:val="false"/>
          <w:i/>
          <w:color w:val="000000"/>
          <w:sz w:val="24"/>
          <w:szCs w:val="24"/>
          <w:lang w:val="en-US"/>
        </w:rPr>
        <w:t>apo</w:t>
      </w:r>
      <w:r>
        <w:rPr>
          <w:b w:val="false"/>
          <w:color w:val="000000"/>
          <w:sz w:val="24"/>
          <w:szCs w:val="24"/>
          <w:lang w:val="en-US"/>
        </w:rPr>
        <w:t xml:space="preserve">- and </w:t>
      </w:r>
      <w:r>
        <w:rPr>
          <w:b w:val="false"/>
          <w:i/>
          <w:color w:val="000000"/>
          <w:sz w:val="24"/>
          <w:szCs w:val="24"/>
          <w:lang w:val="en-US"/>
        </w:rPr>
        <w:t>holo</w:t>
      </w:r>
      <w:r>
        <w:rPr>
          <w:b w:val="false"/>
          <w:color w:val="000000"/>
          <w:sz w:val="24"/>
          <w:szCs w:val="24"/>
          <w:lang w:val="en-US"/>
        </w:rPr>
        <w:t xml:space="preserve">-conformations, presents a larger and more complex internal ligand-binding cavity. </w:t>
      </w:r>
    </w:p>
    <w:p>
      <w:pPr>
        <w:pStyle w:val="BodyText2"/>
        <w:ind w:left="567" w:firstLine="709"/>
        <w:jc w:val="both"/>
        <w:rPr/>
      </w:pPr>
      <w:r>
        <w:rPr>
          <w:b w:val="false"/>
          <w:color w:val="000000"/>
          <w:sz w:val="24"/>
          <w:szCs w:val="24"/>
          <w:lang w:val="en-US"/>
        </w:rPr>
        <w:t xml:space="preserve"> </w:t>
      </w:r>
      <w:r>
        <w:rPr>
          <w:b w:val="false"/>
          <w:color w:val="000000"/>
          <w:sz w:val="24"/>
          <w:szCs w:val="24"/>
          <w:lang w:val="en-US"/>
        </w:rPr>
        <w:t>An understanding of how the conformational diversity of FARs contributes to their ligand multiplicity, varying the relative affinities for different hydrophobic lipophilic molecules, could enlighten their roles in parasitism and suggest possible targets for therapeutic interventions. Fluorescence-based ligand-binding assays and titration of Na-FAR-1 with sodium oleate followed using NMR reveal its high ligand multiplicity</w:t>
      </w:r>
      <w:r>
        <w:fldChar w:fldCharType="begin"/>
      </w:r>
      <w:r>
        <w:rPr/>
        <w:instrText>ADDIN CSL_CITATION {"citationItems":[{"id":"ITEM-1","itemData":{"DOI":"10.1042/BJ20150068","author":[{"dropping-particle":"","family":"Rey-Burusco","given":"MF;","non-dropping-particle":"","parse-names":false,"suffix":""},{"dropping-particle":"","family":"Ibañez-Shimabukuro","given":"M;","non-dropping-particle":"","parse-names":false,"suffix":""},{"dropping-particle":"","family":"Gabrielsen","given":"M;","non-dropping-particle":"","parse-names":false,"suffix":""},{"dropping-particle":"","family":"Franchini","given":"GR;","non-dropping-particle":"","parse-names":false,"suffix":""},{"dropping-particle":"","family":"Roe","given":"AJ;","non-dropping-particle":"","parse-names":false,"suffix":""},{"dropping-particle":"","family":"Smith","given":"BO;","non-dropping-particle":"","parse-names":false,"suffix":""},{"dropping-particle":"","family":"Griffiths","given":"K;","non-dropping-particle":"","parse-names":false,"suffix":""},{"dropping-particle":"","family":"Zhan","given":"B;","non-dropping-particle":"","parse-names":false,"suffix":""},{"dropping-particle":"","family":"Cooper","given":"A;","non-dropping-particle":"","parse-names":false,"suffix":""},{"dropping-particle":"","family":"Kennedy","given":"MW;","non-dropping-particle":"","parse-names":false,"suffix":""},{"dropping-particle":"","family":"Betina","given":"C","non-dropping-particle":"","parse-names":false,"suffix":""}],"container-title":"Biochem. J.","id":"ITEM-1","issued":{"date-parts":[["2015"]]},"page":"403-414","title":"Diversity in the structures and ligand-binding sites of nematode fatty acid and retinol-binding proteins revealed by Na-FAR-1 from Necator americanus","type":"article-journal","volume":"471"},"uris":["http://www.mendeley.com/documents/?uuid=88476f14-8909-4525-b9d6-0cd303b633bf"]}],"mendeley":{"formattedCitation":"&lt;sup&gt;17&lt;/sup&gt;","plainTextFormattedCitation":"17","previouslyFormattedCitation":"&lt;sup&gt;17&lt;/sup&gt;"},"properties":{"noteIndex":0},"schema":"https://github.com/citation-style-language/schema/raw/master/csl-citation.json"}</w:instrText>
      </w:r>
      <w:r>
        <w:rPr/>
        <w:fldChar w:fldCharType="separate"/>
      </w:r>
      <w:bookmarkStart w:id="18" w:name="__Fieldmark__310_1299088308"/>
      <w:r>
        <w:rPr/>
      </w:r>
      <w:r>
        <w:rPr>
          <w:b w:val="false"/>
          <w:color w:val="000000"/>
          <w:sz w:val="24"/>
          <w:szCs w:val="24"/>
          <w:vertAlign w:val="superscript"/>
          <w:lang w:val="en-US"/>
        </w:rPr>
        <w:t>17</w:t>
      </w:r>
      <w:r>
        <w:rPr/>
      </w:r>
      <w:r>
        <w:rPr/>
        <w:fldChar w:fldCharType="end"/>
      </w:r>
      <w:bookmarkEnd w:id="18"/>
      <w:r>
        <w:rPr>
          <w:b w:val="false"/>
          <w:color w:val="000000"/>
          <w:sz w:val="24"/>
          <w:szCs w:val="24"/>
          <w:lang w:val="en-US"/>
        </w:rPr>
        <w:t xml:space="preserve">, suggesting the more propensity of the </w:t>
      </w:r>
      <w:r>
        <w:rPr>
          <w:b w:val="false"/>
          <w:color w:val="000000" w:themeColor="text1"/>
          <w:sz w:val="24"/>
          <w:szCs w:val="24"/>
          <w:lang w:val="en-US"/>
        </w:rPr>
        <w:t>α-helical fold to bind a larger variety and quantity of not only to FAs but also a broader range of lipid classes, such as phospho</w:t>
      </w:r>
      <w:r>
        <w:rPr>
          <w:b w:val="false"/>
          <w:color w:val="000000"/>
          <w:sz w:val="24"/>
          <w:szCs w:val="24"/>
          <w:lang w:val="en-US"/>
        </w:rPr>
        <w:t xml:space="preserve">lipids molecules, than the β-barrel fold. Besides, Na-FAR-1 ligand-binding induces substantial chemical shift changes for residues throughout the protein, indicating significant conformational changes that allow the structure to expand. </w:t>
      </w:r>
    </w:p>
    <w:p>
      <w:pPr>
        <w:pStyle w:val="BodyText2"/>
        <w:ind w:left="567" w:firstLine="709"/>
        <w:jc w:val="both"/>
        <w:rPr>
          <w:b w:val="false"/>
          <w:b w:val="false"/>
          <w:color w:val="000000"/>
          <w:sz w:val="24"/>
          <w:szCs w:val="24"/>
          <w:lang w:val="en-US"/>
        </w:rPr>
      </w:pPr>
      <w:r>
        <w:rPr>
          <w:b w:val="false"/>
          <w:color w:val="000000"/>
          <w:sz w:val="24"/>
          <w:szCs w:val="24"/>
          <w:lang w:val="en-US"/>
        </w:rPr>
        <w:t xml:space="preserve">Herein we explore the structure-dynamics-function relationship of Na-FAR-1 using long molecular dynamics simulations in its </w:t>
      </w:r>
      <w:r>
        <w:rPr>
          <w:b w:val="false"/>
          <w:i/>
          <w:color w:val="000000"/>
          <w:sz w:val="24"/>
          <w:szCs w:val="24"/>
          <w:lang w:val="en-US"/>
        </w:rPr>
        <w:t>apo</w:t>
      </w:r>
      <w:r>
        <w:rPr>
          <w:b w:val="false"/>
          <w:color w:val="000000"/>
          <w:sz w:val="24"/>
          <w:szCs w:val="24"/>
          <w:lang w:val="en-US"/>
        </w:rPr>
        <w:t xml:space="preserve">- and </w:t>
      </w:r>
      <w:r>
        <w:rPr>
          <w:b w:val="false"/>
          <w:i/>
          <w:color w:val="000000"/>
          <w:sz w:val="24"/>
          <w:szCs w:val="24"/>
          <w:lang w:val="en-US"/>
        </w:rPr>
        <w:t>holo</w:t>
      </w:r>
      <w:r>
        <w:rPr>
          <w:b w:val="false"/>
          <w:color w:val="000000"/>
          <w:sz w:val="24"/>
          <w:szCs w:val="24"/>
          <w:lang w:val="en-US"/>
        </w:rPr>
        <w:t xml:space="preserve">-forms. We analyze its plasticity and the impact of the different conformations on the ligand-binding cavity volume. We were focused on the dynamics relationships between protein fluctuations, cavity changes and the enclosed ligand different conformations. A comparison of our results with those obtained from molecular dynamics simulations of the rat intestinal fatty-acid-binding protein (I-FABP) with the typical FABP β-barrel fold, and the orthologue Ce-FAR-7 is performed. Our analysis reveals that Na-FAR-1 encompasses a complex internal ligand-binding cavity with a remarkable conformational plasticity that allows reversible switching between distinct states according with the enclosed ligand different conformations. </w:t>
      </w:r>
    </w:p>
    <w:p>
      <w:pPr>
        <w:pStyle w:val="Normal"/>
        <w:ind w:left="567" w:hanging="0"/>
        <w:jc w:val="both"/>
        <w:rPr>
          <w:color w:val="000000"/>
        </w:rPr>
      </w:pPr>
      <w:r>
        <w:rPr>
          <w:color w:val="000000"/>
        </w:rPr>
      </w:r>
    </w:p>
    <w:p>
      <w:pPr>
        <w:pStyle w:val="Normal"/>
        <w:ind w:left="567" w:hanging="0"/>
        <w:jc w:val="both"/>
        <w:rPr>
          <w:color w:val="000000"/>
        </w:rPr>
      </w:pPr>
      <w:r>
        <w:rPr>
          <w:color w:val="000000"/>
        </w:rPr>
      </w:r>
    </w:p>
    <w:p>
      <w:pPr>
        <w:pStyle w:val="Normal"/>
        <w:spacing w:lineRule="auto" w:line="480"/>
        <w:ind w:left="567" w:hanging="0"/>
        <w:jc w:val="both"/>
        <w:rPr>
          <w:b/>
          <w:b/>
          <w:color w:val="000000"/>
        </w:rPr>
      </w:pPr>
      <w:r>
        <w:rPr>
          <w:b/>
          <w:color w:val="000000"/>
        </w:rPr>
        <w:t xml:space="preserve">II. METHODS </w:t>
      </w:r>
    </w:p>
    <w:p>
      <w:pPr>
        <w:pStyle w:val="ListParagraph"/>
        <w:numPr>
          <w:ilvl w:val="0"/>
          <w:numId w:val="1"/>
        </w:numPr>
        <w:tabs>
          <w:tab w:val="left" w:pos="993" w:leader="none"/>
        </w:tabs>
        <w:spacing w:lineRule="auto" w:line="480" w:before="240" w:after="60"/>
        <w:ind w:left="567" w:hanging="0"/>
        <w:contextualSpacing/>
        <w:rPr>
          <w:i/>
          <w:i/>
          <w:iCs/>
          <w:color w:val="000000"/>
          <w:lang w:val="en-GB"/>
        </w:rPr>
      </w:pPr>
      <w:r>
        <w:rPr>
          <w:rFonts w:cs="Arial" w:ascii="Arial" w:hAnsi="Arial"/>
          <w:i/>
          <w:sz w:val="20"/>
          <w:szCs w:val="20"/>
          <w:lang w:eastAsia="en-US"/>
        </w:rPr>
        <w:t xml:space="preserve"> </w:t>
      </w:r>
      <w:r>
        <w:rPr>
          <w:i/>
          <w:lang w:eastAsia="en-US"/>
        </w:rPr>
        <w:t xml:space="preserve">Molecular Dynamics simulations </w:t>
      </w:r>
    </w:p>
    <w:p>
      <w:pPr>
        <w:pStyle w:val="Normal"/>
        <w:ind w:left="567" w:firstLine="709"/>
        <w:jc w:val="both"/>
        <w:rPr/>
      </w:pPr>
      <w:r>
        <w:rPr>
          <w:color w:val="000000"/>
        </w:rPr>
        <w:t xml:space="preserve">Molecular dynamics simulations were performed for Na-FAR-1 and I-FABP, both in their </w:t>
      </w:r>
      <w:r>
        <w:rPr>
          <w:i/>
          <w:color w:val="000000"/>
        </w:rPr>
        <w:t>apo</w:t>
      </w:r>
      <w:r>
        <w:rPr>
          <w:color w:val="000000"/>
        </w:rPr>
        <w:t xml:space="preserve">- and </w:t>
      </w:r>
      <w:r>
        <w:rPr>
          <w:i/>
          <w:color w:val="000000"/>
        </w:rPr>
        <w:t>holo</w:t>
      </w:r>
      <w:r>
        <w:rPr>
          <w:color w:val="000000"/>
        </w:rPr>
        <w:t>- forms with palmitate in their binding pockets, and Ce-FAR-7 in its unligated form. These were carried out with AMBER 16 software package</w:t>
      </w:r>
      <w:r>
        <w:rPr>
          <w:color w:val="000000"/>
          <w:vertAlign w:val="superscript"/>
        </w:rPr>
        <w:t>,</w:t>
      </w:r>
      <w:r>
        <w:fldChar w:fldCharType="begin"/>
      </w:r>
      <w:r>
        <w:rPr/>
        <w:instrText>ADDIN CSL_CITATION {"citationItems":[{"id":"ITEM-1","itemData":{"author":[{"dropping-particle":"","family":"Salomon-Ferrer","given":"R;","non-dropping-particle":"","parse-names":false,"suffix":""},{"dropping-particle":"","family":"Case","given":"DA;","non-dropping-particle":"","parse-names":false,"suffix":""},{"dropping-particle":"","family":"Walker","given":"RC","non-dropping-particle":"","parse-names":false,"suffix":""}],"container-title":"WIREs Comput. Mol. Sci.","id":"ITEM-1","issued":{"date-parts":[["2013"]]},"page":"198-210","title":"An overview of the Amber biomolecular simulation package.","type":"article-journal","volume":"3"},"uris":["http://www.mendeley.com/documents/?uuid=b99bf54c-c26c-46a9-8dee-e8269aaa4a30"]}],"mendeley":{"formattedCitation":"&lt;sup&gt;19&lt;/sup&gt;","plainTextFormattedCitation":"19","previouslyFormattedCitation":"&lt;sup&gt;19&lt;/sup&gt;"},"properties":{"noteIndex":0},"schema":"https://github.com/citation-style-language/schema/raw/master/csl-citation.json"}</w:instrText>
      </w:r>
      <w:r>
        <w:rPr/>
        <w:fldChar w:fldCharType="separate"/>
      </w:r>
      <w:bookmarkStart w:id="19" w:name="__Fieldmark__399_1299088308"/>
      <w:r>
        <w:rPr/>
      </w:r>
      <w:r>
        <w:rPr>
          <w:color w:val="000000"/>
          <w:vertAlign w:val="superscript"/>
        </w:rPr>
        <w:t>19</w:t>
      </w:r>
      <w:r>
        <w:rPr/>
      </w:r>
      <w:r>
        <w:rPr/>
        <w:fldChar w:fldCharType="end"/>
      </w:r>
      <w:bookmarkEnd w:id="19"/>
      <w:r>
        <w:rPr>
          <w:color w:val="000000"/>
          <w:vertAlign w:val="superscript"/>
        </w:rPr>
        <w:t>,</w:t>
      </w:r>
      <w:r>
        <w:fldChar w:fldCharType="begin"/>
      </w:r>
      <w:r>
        <w:rPr/>
        <w:instrText>ADDIN CSL_CITATION {"citationItems":[{"id":"ITEM-1","itemData":{"author":[{"dropping-particle":"","family":"Case","given":"DA;","non-dropping-particle":"","parse-names":false,"suffix":""},{"dropping-particle":"","family":"Cheatham","given":"TE III;","non-dropping-particle":"","parse-names":false,"suffix":""},{"dropping-particle":"","family":"Darden","given":"T;","non-dropping-particle":"","parse-names":false,"suffix":""},{"dropping-particle":"","family":"Gohlke","given":"H;","non-dropping-particle":"","parse-names":false,"suffix":""},{"dropping-particle":"","family":"Luo","given":"R;","non-dropping-particle":"","parse-names":false,"suffix":""},{"dropping-particle":"","family":"Merz","given":"KM Jr;","non-dropping-particle":"","parse-names":false,"suffix":""},{"dropping-particle":"","family":"Onufriev","given":"A;","non-dropping-particle":"","parse-names":false,"suffix":""},{"dropping-particle":"","family":"Simmerling","given":"C;","non-dropping-particle":"","parse-names":false,"suffix":""},{"dropping-particle":"","family":"Wang","given":"B;","non-dropping-particle":"","parse-names":false,"suffix":""},{"dropping-particle":"","family":"Woods","given":"R","non-dropping-particle":"","parse-names":false,"suffix":""}],"container-title":"J. Computat. Chem.","id":"ITEM-1","issued":{"date-parts":[["2005"]]},"page":"1668-1688","title":"The Amber biomolecular simulation programs.","type":"article-journal","volume":"26"},"uris":["http://www.mendeley.com/documents/?uuid=ce0ccf48-25f9-4375-8dc5-935f3b9aea99"]}],"mendeley":{"formattedCitation":"&lt;sup&gt;20&lt;/sup&gt;","plainTextFormattedCitation":"20","previouslyFormattedCitation":"&lt;sup&gt;20&lt;/sup&gt;"},"properties":{"noteIndex":0},"schema":"https://github.com/citation-style-language/schema/raw/master/csl-citation.json"}</w:instrText>
      </w:r>
      <w:r>
        <w:rPr/>
        <w:fldChar w:fldCharType="separate"/>
      </w:r>
      <w:bookmarkStart w:id="20" w:name="__Fieldmark__404_1299088308"/>
      <w:r>
        <w:rPr/>
      </w:r>
      <w:r>
        <w:rPr>
          <w:color w:val="000000"/>
          <w:vertAlign w:val="superscript"/>
        </w:rPr>
        <w:t>20</w:t>
      </w:r>
      <w:r>
        <w:rPr/>
      </w:r>
      <w:r>
        <w:rPr/>
        <w:fldChar w:fldCharType="end"/>
      </w:r>
      <w:bookmarkEnd w:id="20"/>
      <w:r>
        <w:rPr>
          <w:color w:val="000000"/>
        </w:rPr>
        <w:t>. Initial structures for each protein were obtained from the protein data bank</w:t>
      </w:r>
      <w:r>
        <w:fldChar w:fldCharType="begin"/>
      </w:r>
      <w:r>
        <w:rPr/>
        <w:instrText>ADDIN CSL_CITATION {"citationItems":[{"id":"ITEM-1","itemData":{"author":[{"dropping-particle":"","family":"Berman","given":"HM;","non-dropping-particle":"","parse-names":false,"suffix":""},{"dropping-particle":"","family":"Westbrook","given":"J;","non-dropping-particle":"","parse-names":false,"suffix":""},{"dropping-particle":"","family":"Feng","given":"Z;","non-dropping-particle":"","parse-names":false,"suffix":""},{"dropping-particle":"","family":"Gilliland","given":"G;","non-dropping-particle":"","parse-names":false,"suffix":""},{"dropping-particle":"","family":"Bhat","given":"TN","non-dropping-particle":"","parse-names":false,"suffix":""}],"container-title":"Nucleic Acids Res.","id":"ITEM-1","issued":{"date-parts":[["2000"]]},"page":"235-242","title":"The Protein Data Bank","type":"article-journal","volume":"28"},"uris":["http://www.mendeley.com/documents/?uuid=31340369-ba2b-4f4a-bac4-aa8dc415835b"]}],"mendeley":{"formattedCitation":"&lt;sup&gt;21&lt;/sup&gt;","plainTextFormattedCitation":"21","previouslyFormattedCitation":"&lt;sup&gt;21&lt;/sup&gt;"},"properties":{"noteIndex":0},"schema":"https://github.com/citation-style-language/schema/raw/master/csl-citation.json"}</w:instrText>
      </w:r>
      <w:r>
        <w:rPr/>
        <w:fldChar w:fldCharType="separate"/>
      </w:r>
      <w:bookmarkStart w:id="21" w:name="__Fieldmark__411_1299088308"/>
      <w:r>
        <w:rPr/>
      </w:r>
      <w:r>
        <w:rPr>
          <w:color w:val="000000"/>
          <w:vertAlign w:val="superscript"/>
        </w:rPr>
        <w:t>21</w:t>
      </w:r>
      <w:r>
        <w:rPr/>
      </w:r>
      <w:r>
        <w:rPr/>
        <w:fldChar w:fldCharType="end"/>
      </w:r>
      <w:bookmarkEnd w:id="21"/>
      <w:r>
        <w:rPr>
          <w:color w:val="000000"/>
        </w:rPr>
        <w:t xml:space="preserve"> (pdb id 4UET and 4XCP for </w:t>
      </w:r>
      <w:r>
        <w:rPr>
          <w:i/>
          <w:color w:val="000000"/>
        </w:rPr>
        <w:t>apo</w:t>
      </w:r>
      <w:r>
        <w:rPr>
          <w:color w:val="000000"/>
        </w:rPr>
        <w:t xml:space="preserve">- and </w:t>
      </w:r>
      <w:r>
        <w:rPr>
          <w:i/>
          <w:color w:val="000000"/>
        </w:rPr>
        <w:t>holo</w:t>
      </w:r>
      <w:r>
        <w:rPr>
          <w:color w:val="000000"/>
        </w:rPr>
        <w:t>-Na-FAR-1</w:t>
      </w:r>
      <w:r>
        <w:fldChar w:fldCharType="begin"/>
      </w:r>
      <w:r>
        <w:rPr/>
        <w:instrText>ADDIN CSL_CITATION {"citationItems":[{"id":"ITEM-1","itemData":{"DOI":"10.1042/BJ20150068","author":[{"dropping-particle":"","family":"Rey-Burusco","given":"MF;","non-dropping-particle":"","parse-names":false,"suffix":""},{"dropping-particle":"","family":"Ibañez-Shimabukuro","given":"M;","non-dropping-particle":"","parse-names":false,"suffix":""},{"dropping-particle":"","family":"Gabrielsen","given":"M;","non-dropping-particle":"","parse-names":false,"suffix":""},{"dropping-particle":"","family":"Franchini","given":"GR;","non-dropping-particle":"","parse-names":false,"suffix":""},{"dropping-particle":"","family":"Roe","given":"AJ;","non-dropping-particle":"","parse-names":false,"suffix":""},{"dropping-particle":"","family":"Smith","given":"BO;","non-dropping-particle":"","parse-names":false,"suffix":""},{"dropping-particle":"","family":"Griffiths","given":"K;","non-dropping-particle":"","parse-names":false,"suffix":""},{"dropping-particle":"","family":"Zhan","given":"B;","non-dropping-particle":"","parse-names":false,"suffix":""},{"dropping-particle":"","family":"Cooper","given":"A;","non-dropping-particle":"","parse-names":false,"suffix":""},{"dropping-particle":"","family":"Kennedy","given":"MW;","non-dropping-particle":"","parse-names":false,"suffix":""},{"dropping-particle":"","family":"Betina","given":"C","non-dropping-particle":"","parse-names":false,"suffix":""}],"container-title":"Biochem. J.","id":"ITEM-1","issued":{"date-parts":[["2015"]]},"page":"403-414","title":"Diversity in the structures and ligand-binding sites of nematode fatty acid and retinol-binding proteins revealed by Na-FAR-1 from Necator americanus","type":"article-journal","volume":"471"},"uris":["http://www.mendeley.com/documents/?uuid=88476f14-8909-4525-b9d6-0cd303b633bf"]}],"mendeley":{"formattedCitation":"&lt;sup&gt;17&lt;/sup&gt;","plainTextFormattedCitation":"17","previouslyFormattedCitation":"&lt;sup&gt;17&lt;/sup&gt;"},"properties":{"noteIndex":0},"schema":"https://github.com/citation-style-language/schema/raw/master/csl-citation.json"}</w:instrText>
      </w:r>
      <w:r>
        <w:rPr/>
        <w:fldChar w:fldCharType="separate"/>
      </w:r>
      <w:bookmarkStart w:id="22" w:name="__Fieldmark__423_1299088308"/>
      <w:r>
        <w:rPr/>
      </w:r>
      <w:r>
        <w:rPr>
          <w:color w:val="000000"/>
          <w:vertAlign w:val="superscript"/>
        </w:rPr>
        <w:t>17</w:t>
      </w:r>
      <w:r>
        <w:rPr/>
      </w:r>
      <w:r>
        <w:rPr/>
        <w:fldChar w:fldCharType="end"/>
      </w:r>
      <w:bookmarkEnd w:id="22"/>
      <w:r>
        <w:rPr>
          <w:color w:val="000000"/>
        </w:rPr>
        <w:t xml:space="preserve"> respectively, 1IFB</w:t>
      </w:r>
      <w:r>
        <w:fldChar w:fldCharType="begin"/>
      </w:r>
      <w:r>
        <w:rPr/>
        <w:instrText>ADDIN CSL_CITATION {"citationItems":[{"id":"ITEM-1","itemData":{"author":[{"dropping-particle":"","family":"Sacchettini","given":"JC;","non-dropping-particle":"","parse-names":false,"suffix":""},{"dropping-particle":"","family":"Gordon","given":"JI;","non-dropping-particle":"","parse-names":false,"suffix":""},{"dropping-particle":"","family":"Banaszak","given":"LJ","non-dropping-particle":"","parse-names":false,"suffix":""}],"container-title":"Proc Natl Acad Sci USA","id":"ITEM-1","issue":"October","issued":{"date-parts":[["1989"]]},"page":"7736-7740","title":"Refined apoprotein structure of rat intestinal fatty acid binding protein produced in Escherichia coli","type":"article-journal","volume":"86"},"uris":["http://www.mendeley.com/documents/?uuid=09cdc876-ef36-4504-87d3-f8ffaae1111d"]}],"mendeley":{"formattedCitation":"&lt;sup&gt;22&lt;/sup&gt;","plainTextFormattedCitation":"22","previouslyFormattedCitation":"&lt;sup&gt;22&lt;/sup&gt;"},"properties":{"noteIndex":0},"schema":"https://github.com/citation-style-language/schema/raw/master/csl-citation.json"}</w:instrText>
      </w:r>
      <w:r>
        <w:rPr/>
        <w:fldChar w:fldCharType="separate"/>
      </w:r>
      <w:bookmarkStart w:id="23" w:name="__Fieldmark__428_1299088308"/>
      <w:r>
        <w:rPr/>
      </w:r>
      <w:r>
        <w:rPr>
          <w:color w:val="000000"/>
          <w:vertAlign w:val="superscript"/>
        </w:rPr>
        <w:t>22</w:t>
      </w:r>
      <w:r>
        <w:rPr/>
      </w:r>
      <w:r>
        <w:rPr/>
        <w:fldChar w:fldCharType="end"/>
      </w:r>
      <w:bookmarkEnd w:id="23"/>
      <w:r>
        <w:rPr>
          <w:color w:val="000000"/>
        </w:rPr>
        <w:t xml:space="preserve"> for </w:t>
      </w:r>
      <w:r>
        <w:rPr>
          <w:i/>
          <w:color w:val="000000"/>
        </w:rPr>
        <w:t>apo</w:t>
      </w:r>
      <w:r>
        <w:rPr>
          <w:color w:val="000000"/>
        </w:rPr>
        <w:t>-I-FABP, 2IFB</w:t>
      </w:r>
      <w:r>
        <w:fldChar w:fldCharType="begin"/>
      </w:r>
      <w:r>
        <w:rPr/>
        <w:instrText>ADDIN CSL_CITATION {"citationItems":[{"id":"ITEM-1","itemData":{"author":[{"dropping-particle":"","family":"Sacchettini","given":"JC;","non-dropping-particle":"","parse-names":false,"suffix":""},{"dropping-particle":"","family":"Gordon","given":"JI;","non-dropping-particle":"","parse-names":false,"suffix":""},{"dropping-particle":"","family":"Banaszakl","given":"LJ","non-dropping-particle":"","parse-names":false,"suffix":""}],"container-title":"J Mol Biol","id":"ITEM-1","issued":{"date-parts":[["1989"]]},"page":"327-339","title":"Crystal Structure of Rat Intestinal Protein Refinement and Analysis of the Escherichia coli- derived Protein with Bound Palmitate","type":"article-journal","volume":"208"},"uris":["http://www.mendeley.com/documents/?uuid=2bb02a9f-d93a-4b10-baf1-741c479b3a67"]}],"mendeley":{"formattedCitation":"&lt;sup&gt;23&lt;/sup&gt;","plainTextFormattedCitation":"23","previouslyFormattedCitation":"&lt;sup&gt;23&lt;/sup&gt;"},"properties":{"noteIndex":0},"schema":"https://github.com/citation-style-language/schema/raw/master/csl-citation.json"}</w:instrText>
      </w:r>
      <w:r>
        <w:rPr/>
        <w:fldChar w:fldCharType="separate"/>
      </w:r>
      <w:bookmarkStart w:id="24" w:name="__Fieldmark__440_1299088308"/>
      <w:r>
        <w:rPr/>
      </w:r>
      <w:r>
        <w:rPr>
          <w:color w:val="000000"/>
          <w:vertAlign w:val="superscript"/>
        </w:rPr>
        <w:t>23</w:t>
      </w:r>
      <w:r>
        <w:rPr/>
      </w:r>
      <w:r>
        <w:rPr/>
        <w:fldChar w:fldCharType="end"/>
      </w:r>
      <w:bookmarkEnd w:id="24"/>
      <w:r>
        <w:rPr>
          <w:color w:val="000000"/>
        </w:rPr>
        <w:t xml:space="preserve"> and 1URE</w:t>
      </w:r>
      <w:r>
        <w:fldChar w:fldCharType="begin"/>
      </w:r>
      <w:r>
        <w:rPr/>
        <w:instrText>ADDIN CSL_CITATION {"citationItems":[{"id":"ITEM-1","itemData":{"author":[{"dropping-particle":"","family":"Hodsdon","given":"ME;","non-dropping-particle":"","parse-names":false,"suffix":""},{"dropping-particle":"","family":"Ponder","given":"JW;","non-dropping-particle":"","parse-names":false,"suffix":""},{"dropping-particle":"","family":"Cistola","given":"DP","non-dropping-particle":"","parse-names":false,"suffix":""}],"container-title":"J Mol Biol","id":"ITEM-1","issued":{"date-parts":[["1996"]]},"page":"585-602","title":"The NMR solution structure of intestinal fatty acid-binding protein complexed with palmitate: application of a novel distance geometry algorithm.","type":"article-journal","volume":"264"},"uris":["http://www.mendeley.com/documents/?uuid=e3b57a4b-ecc8-410e-a30c-a2b218331ca0"]}],"mendeley":{"formattedCitation":"&lt;sup&gt;24&lt;/sup&gt;","plainTextFormattedCitation":"24","previouslyFormattedCitation":"&lt;sup&gt;24&lt;/sup&gt;"},"properties":{"noteIndex":0},"schema":"https://github.com/citation-style-language/schema/raw/master/csl-citation.json"}</w:instrText>
      </w:r>
      <w:r>
        <w:rPr/>
        <w:fldChar w:fldCharType="separate"/>
      </w:r>
      <w:bookmarkStart w:id="25" w:name="__Fieldmark__445_1299088308"/>
      <w:r>
        <w:rPr/>
      </w:r>
      <w:r>
        <w:rPr>
          <w:color w:val="000000"/>
          <w:vertAlign w:val="superscript"/>
        </w:rPr>
        <w:t>24</w:t>
      </w:r>
      <w:r>
        <w:rPr/>
      </w:r>
      <w:r>
        <w:rPr/>
        <w:fldChar w:fldCharType="end"/>
      </w:r>
      <w:bookmarkEnd w:id="25"/>
      <w:r>
        <w:rPr>
          <w:color w:val="000000"/>
        </w:rPr>
        <w:t xml:space="preserve"> for </w:t>
      </w:r>
      <w:r>
        <w:rPr>
          <w:i/>
          <w:color w:val="000000"/>
        </w:rPr>
        <w:t>holo</w:t>
      </w:r>
      <w:r>
        <w:rPr>
          <w:color w:val="000000"/>
        </w:rPr>
        <w:t>-I-FABPs and 2W9Y</w:t>
      </w:r>
      <w:r>
        <w:fldChar w:fldCharType="begin"/>
      </w:r>
      <w:r>
        <w:rPr/>
        <w:instrText>ADDIN CSL_CITATION {"citationItems":[{"id":"ITEM-1","itemData":{"DOI":"10.1074/jbc.M109.022731","author":[{"dropping-particle":"","family":"Jordanova","given":"R;","non-dropping-particle":"","parse-names":false,"suffix":""},{"dropping-particle":"","family":"Groves","given":"MR;","non-dropping-particle":"","parse-names":false,"suffix":""},{"dropping-particle":"","family":"Kostova","given":"E;","non-dropping-particle":"","parse-names":false,"suffix":""},{"dropping-particle":"","family":"Woltersdorf","given":"C;","non-dropping-particle":"","parse-names":false,"suffix":""},{"dropping-particle":"","family":"Liebau","given":"E;","non-dropping-particle":"","parse-names":false,"suffix":""},{"dropping-particle":"","family":"Tucker","given":"PA","non-dropping-particle":"","parse-names":false,"suffix":""}],"container-title":"J. Biol. Chem.","id":"ITEM-1","issue":"51","issued":{"date-parts":[["2009"]]},"page":"35818-35826","title":"Fatty Acid- and Retinoid-binding Proteins Have Distinct Binding Pockets for the Two Types of Cargo","type":"article-journal","volume":"284"},"uris":["http://www.mendeley.com/documents/?uuid=921ff5e5-c673-474a-9e5b-79b2314777a4"]}],"mendeley":{"formattedCitation":"&lt;sup&gt;18&lt;/sup&gt;","plainTextFormattedCitation":"18","previouslyFormattedCitation":"&lt;sup&gt;18&lt;/sup&gt;"},"properties":{"noteIndex":0},"schema":"https://github.com/citation-style-language/schema/raw/master/csl-citation.json"}</w:instrText>
      </w:r>
      <w:r>
        <w:rPr/>
        <w:fldChar w:fldCharType="separate"/>
      </w:r>
      <w:bookmarkStart w:id="26" w:name="__Fieldmark__455_1299088308"/>
      <w:r>
        <w:rPr/>
      </w:r>
      <w:r>
        <w:rPr>
          <w:color w:val="000000"/>
          <w:vertAlign w:val="superscript"/>
        </w:rPr>
        <w:t>18</w:t>
      </w:r>
      <w:r>
        <w:rPr/>
      </w:r>
      <w:r>
        <w:rPr/>
        <w:fldChar w:fldCharType="end"/>
      </w:r>
      <w:bookmarkEnd w:id="26"/>
      <w:r>
        <w:rPr>
          <w:color w:val="000000"/>
        </w:rPr>
        <w:t xml:space="preserve"> for </w:t>
      </w:r>
      <w:r>
        <w:rPr>
          <w:i/>
          <w:color w:val="000000"/>
        </w:rPr>
        <w:t>apo</w:t>
      </w:r>
      <w:r>
        <w:rPr>
          <w:color w:val="000000"/>
        </w:rPr>
        <w:t>- Ce-FAR-7).  Each protein was solvated with explicit water molecules in a rectangular periodic box large enough to contain the protein and 10 Å of solvent on all sides. Ions are added for charge neutralization. Periodic boundary conditions and particle-mesh Ewald(PME) sums were applied. The AMBER ff14SB</w:t>
      </w:r>
      <w:r>
        <w:fldChar w:fldCharType="begin"/>
      </w:r>
      <w:r>
        <w:rPr/>
        <w:instrText>ADDIN CSL_CITATION {"citationItems":[{"id":"ITEM-1","itemData":{"author":[{"dropping-particle":"","family":"Ponder","given":"JW;","non-dropping-particle":"","parse-names":false,"suffix":""},{"dropping-particle":"","family":"Case","given":"DA","non-dropping-particle":"","parse-names":false,"suffix":""}],"container-title":"Adv. Prot. Chem.","id":"ITEM-1","issued":{"date-parts":[["2003"]]},"page":"27-85.","title":"Force fields for protein simulations.","type":"article-journal","volume":"66"},"uris":["http://www.mendeley.com/documents/?uuid=09081055-6e86-4687-bc4c-e61fa8090185"]}],"mendeley":{"formattedCitation":"&lt;sup&gt;25&lt;/sup&gt;","plainTextFormattedCitation":"25","previouslyFormattedCitation":"&lt;sup&gt;25&lt;/sup&gt;"},"properties":{"noteIndex":0},"schema":"https://github.com/citation-style-language/schema/raw/master/csl-citation.json"}</w:instrText>
      </w:r>
      <w:r>
        <w:rPr/>
        <w:fldChar w:fldCharType="separate"/>
      </w:r>
      <w:bookmarkStart w:id="27" w:name="__Fieldmark__474_1299088308"/>
      <w:r>
        <w:rPr/>
      </w:r>
      <w:r>
        <w:rPr>
          <w:color w:val="000000"/>
          <w:vertAlign w:val="superscript"/>
        </w:rPr>
        <w:t>25</w:t>
      </w:r>
      <w:r>
        <w:rPr/>
      </w:r>
      <w:r>
        <w:rPr/>
        <w:fldChar w:fldCharType="end"/>
      </w:r>
      <w:bookmarkEnd w:id="27"/>
      <w:r>
        <w:rPr>
          <w:color w:val="000000"/>
          <w:vertAlign w:val="superscript"/>
        </w:rPr>
        <w:t>,</w:t>
      </w:r>
      <w:r>
        <w:fldChar w:fldCharType="begin"/>
      </w:r>
      <w:r>
        <w:rPr/>
        <w:instrText>ADDIN CSL_CITATION {"citationItems":[{"id":"ITEM-1","itemData":{"author":[{"dropping-particle":"","family":"Maier","given":"JA;","non-dropping-particle":"","parse-names":false,"suffix":""},{"dropping-particle":"","family":"Martinez","given":"C;","non-dropping-particle":"","parse-names":false,"suffix":""},{"dropping-particle":"","family":"Kasavajhala","given":"K;","non-dropping-particle":"","parse-names":false,"suffix":""},{"dropping-particle":"","family":"Wickstrom","given":"L;","non-dropping-particle":"","parse-names":false,"suffix":""},{"dropping-particle":"","family":"Hauser","given":"KE;","non-dropping-particle":"","parse-names":false,"suffix":""},{"dropping-particle":"","family":"Simmerling","given":"C","non-dropping-particle":"","parse-names":false,"suffix":""}],"container-title":"J. Chem. Theor. Comput.","id":"ITEM-1","issued":{"date-parts":[["2015"]]},"page":"3696-3713","title":"ff14SB: Improving the Accuracy of Protein Side Chain and Backbone Parameters from ff99SB.","type":"article-journal","volume":"11"},"uris":["http://www.mendeley.com/documents/?uuid=f7f1cb65-8a25-463c-8648-b192e0804342"]}],"mendeley":{"formattedCitation":"&lt;sup&gt;26&lt;/sup&gt;","plainTextFormattedCitation":"26","previouslyFormattedCitation":"&lt;sup&gt;26&lt;/sup&gt;"},"properties":{"noteIndex":0},"schema":"https://github.com/citation-style-language/schema/raw/master/csl-citation.json"}</w:instrText>
      </w:r>
      <w:r>
        <w:rPr/>
        <w:fldChar w:fldCharType="separate"/>
      </w:r>
      <w:bookmarkStart w:id="28" w:name="__Fieldmark__479_1299088308"/>
      <w:r>
        <w:rPr/>
      </w:r>
      <w:r>
        <w:rPr>
          <w:color w:val="000000"/>
          <w:vertAlign w:val="superscript"/>
        </w:rPr>
        <w:t>26</w:t>
      </w:r>
      <w:r>
        <w:rPr/>
      </w:r>
      <w:r>
        <w:rPr/>
        <w:fldChar w:fldCharType="end"/>
      </w:r>
      <w:bookmarkEnd w:id="28"/>
      <w:r>
        <w:rPr>
          <w:color w:val="000000"/>
        </w:rPr>
        <w:t xml:space="preserve"> force field and the TIP3P</w:t>
      </w:r>
      <w:r>
        <w:fldChar w:fldCharType="begin"/>
      </w:r>
      <w:r>
        <w:rPr/>
        <w:instrText>ADDIN CSL_CITATION {"citationItems":[{"id":"ITEM-1","itemData":{"author":[{"dropping-particle":"","family":"Jorgensen","given":"WL;","non-dropping-particle":"","parse-names":false,"suffix":""},{"dropping-particle":"","family":"Chandrasekhar","given":"J;","non-dropping-particle":"","parse-names":false,"suffix":""},{"dropping-particle":"","family":"Madura","given":"JD;","non-dropping-particle":"","parse-names":false,"suffix":""},{"dropping-particle":"","family":"Impey","given":"RW;","non-dropping-particle":"","parse-names":false,"suffix":""},{"dropping-particle":"","family":"and Klein","given":"ML","non-dropping-particle":"","parse-names":false,"suffix":""}],"container-title":"J. Chem. Phys.","id":"ITEM-1","issued":{"date-parts":[["1983"]]},"page":"926–935.","title":"Comparison of simple potential functions for simulating liquid water.","type":"article-journal","volume":"79"},"uris":["http://www.mendeley.com/documents/?uuid=92f05a74-518d-4f07-9fde-ba6f07f3d38b"]}],"mendeley":{"formattedCitation":"&lt;sup&gt;27&lt;/sup&gt;","plainTextFormattedCitation":"27","previouslyFormattedCitation":"&lt;sup&gt;27&lt;/sup&gt;"},"properties":{"noteIndex":0},"schema":"https://github.com/citation-style-language/schema/raw/master/csl-citation.json"}</w:instrText>
      </w:r>
      <w:r>
        <w:rPr/>
        <w:fldChar w:fldCharType="separate"/>
      </w:r>
      <w:bookmarkStart w:id="29" w:name="__Fieldmark__484_1299088308"/>
      <w:r>
        <w:rPr/>
      </w:r>
      <w:r>
        <w:rPr>
          <w:color w:val="000000"/>
          <w:vertAlign w:val="superscript"/>
        </w:rPr>
        <w:t>27</w:t>
      </w:r>
      <w:r>
        <w:rPr/>
      </w:r>
      <w:r>
        <w:rPr/>
        <w:fldChar w:fldCharType="end"/>
      </w:r>
      <w:bookmarkEnd w:id="29"/>
      <w:r>
        <w:rPr>
          <w:color w:val="000000"/>
        </w:rPr>
        <w:t xml:space="preserve"> water model were used in all simulations.  An initial minimization of the systems, consisting of 200-steps of steepest-descent and 800-steps of conjugate gradient, was followed by 400</w:t>
      </w:r>
      <w:r>
        <w:rPr>
          <w:color w:val="FF0000"/>
        </w:rPr>
        <w:t xml:space="preserve"> </w:t>
      </w:r>
      <w:r>
        <w:rPr>
          <w:color w:val="000000"/>
        </w:rPr>
        <w:t>ps of heating to reach the final temperature of 300K. During heating a harmonic constraint of 25.0 (kcal/mol)/Å</w:t>
      </w:r>
      <w:r>
        <w:rPr>
          <w:color w:val="000000"/>
          <w:vertAlign w:val="superscript"/>
        </w:rPr>
        <w:t>2</w:t>
      </w:r>
      <w:r>
        <w:rPr>
          <w:color w:val="000000"/>
        </w:rPr>
        <w:t xml:space="preserve"> was applied to the protein atoms. The time step was 2fs, and the SHAKE algorithm was employed to constrain bonds involving hydrogen atoms. A cutoff of 10 Å was applied to nonbonded interactions. Systems were equilibrated for XX ps at constant pressure reducing the constraints by </w:t>
      </w:r>
      <w:r>
        <w:rPr>
          <w:color w:val="FF0000"/>
        </w:rPr>
        <w:t>XX</w:t>
      </w:r>
      <w:r>
        <w:rPr>
          <w:color w:val="000000"/>
        </w:rPr>
        <w:t xml:space="preserve"> (kcal/mol)/Å</w:t>
      </w:r>
      <w:r>
        <w:rPr>
          <w:color w:val="000000"/>
          <w:vertAlign w:val="superscript"/>
        </w:rPr>
        <w:t>2</w:t>
      </w:r>
      <w:r>
        <w:rPr>
          <w:color w:val="000000"/>
        </w:rPr>
        <w:t xml:space="preserve"> every 100 ps until all restraints were lifted. After that, the systems were equilibrated at the constant temperature of 300K using Andersen barostat and thermostat with a a γ collision frequency of 2 ps</w:t>
      </w:r>
      <w:r>
        <w:rPr>
          <w:color w:val="000000"/>
          <w:vertAlign w:val="superscript"/>
        </w:rPr>
        <w:t>−1</w:t>
      </w:r>
      <w:r>
        <w:rPr>
          <w:color w:val="000000"/>
        </w:rPr>
        <w:t xml:space="preserve"> during 12.2 ns. Finally, 3-μs production MD runs were performed, during which configurations were collected at 10-ps intervals.</w:t>
      </w:r>
    </w:p>
    <w:p>
      <w:pPr>
        <w:pStyle w:val="ListParagraph"/>
        <w:numPr>
          <w:ilvl w:val="0"/>
          <w:numId w:val="1"/>
        </w:numPr>
        <w:tabs>
          <w:tab w:val="left" w:pos="993" w:leader="none"/>
        </w:tabs>
        <w:spacing w:lineRule="auto" w:line="480" w:before="240" w:after="60"/>
        <w:ind w:left="567" w:hanging="0"/>
        <w:contextualSpacing/>
        <w:rPr>
          <w:i/>
          <w:i/>
          <w:iCs/>
          <w:color w:val="000000"/>
          <w:lang w:val="en-GB"/>
        </w:rPr>
      </w:pPr>
      <w:r>
        <w:rPr>
          <w:i/>
          <w:lang w:eastAsia="en-US"/>
        </w:rPr>
        <w:t xml:space="preserve">Principal Component Analysis </w:t>
      </w:r>
    </w:p>
    <w:p>
      <w:pPr>
        <w:pStyle w:val="Normal"/>
        <w:ind w:left="567" w:firstLine="709"/>
        <w:jc w:val="both"/>
        <w:rPr/>
      </w:pPr>
      <w:r>
        <w:rPr>
          <w:color w:val="000000"/>
        </w:rPr>
        <w:t>Principal Component Analysis (PCA) is an extensively used statistical procedure to identify the essential dynamics from MD simulations</w:t>
      </w:r>
      <w:r>
        <w:fldChar w:fldCharType="begin"/>
      </w:r>
      <w:r>
        <w:rPr/>
        <w:instrText>ADDIN CSL_CITATION {"citationItems":[{"id":"ITEM-1","itemData":{"author":[{"dropping-particle":"","family":"Ichiye","given":"T;","non-dropping-particle":"","parse-names":false,"suffix":""},{"dropping-particle":"","family":"Karplus","given":"M;","non-dropping-particle":"","parse-names":false,"suffix":""}],"container-title":"Proteins: Structure, Function, and Bioinformatics","id":"ITEM-1","issued":{"date-parts":[["1991"]]},"page":"205-217","title":"Collective motions in proteins: A covariance analysis of atomic fluctuations in molecular dynamics and normal mode simulations","type":"article-journal","volume":"11"},"uris":["http://www.mendeley.com/documents/?uuid=d120fab1-b848-41e3-a959-27e522b58149"]}],"mendeley":{"formattedCitation":"&lt;sup&gt;28&lt;/sup&gt;","plainTextFormattedCitation":"28","previouslyFormattedCitation":"&lt;sup&gt;28&lt;/sup&gt;"},"properties":{"noteIndex":0},"schema":"https://github.com/citation-style-language/schema/raw/master/csl-citation.json"}</w:instrText>
      </w:r>
      <w:r>
        <w:rPr/>
        <w:fldChar w:fldCharType="separate"/>
      </w:r>
      <w:bookmarkStart w:id="30" w:name="__Fieldmark__555_1299088308"/>
      <w:r>
        <w:rPr/>
      </w:r>
      <w:r>
        <w:rPr>
          <w:color w:val="000000"/>
          <w:vertAlign w:val="superscript"/>
        </w:rPr>
        <w:t>28</w:t>
      </w:r>
      <w:r>
        <w:rPr/>
      </w:r>
      <w:r>
        <w:rPr/>
        <w:fldChar w:fldCharType="end"/>
      </w:r>
      <w:bookmarkEnd w:id="30"/>
      <w:r>
        <w:rPr>
          <w:color w:val="000000"/>
          <w:vertAlign w:val="superscript"/>
        </w:rPr>
        <w:t>,</w:t>
      </w:r>
      <w:r>
        <w:fldChar w:fldCharType="begin"/>
      </w:r>
      <w:r>
        <w:rPr/>
        <w:instrText>ADDIN CSL_CITATION {"citationItems":[{"id":"ITEM-1","itemData":{"DOI":"10.1002/prot.340100204","ISSN":"0887-3585","PMID":"1896424","abstract":"A method is presented to describe the internal motions of proteins obtained from molecular dynamics or Monte Carlo simulations as motions of normal mode variables. This method calculates normal mode variables by projecting trajectories of these simulations onto the axes of normal modes and expresses the trajectories as a linear combination of normal mode variables. This method is applied to the result of the molecular dynamics and the Monte Carlo simulations of human lysozyme. The motion of the lowest frequency mode extracted from the simulations represents the hinge bending motion very faithfully. Analysis of the obtained motions of the normal mode variables provides an explanation of the anharmonic aspects of protein dynamics as due first to the anharmonicity of the actual potential energy surface near a minimum and second to trans-minimum conformational changes.","author":[{"dropping-particle":"","family":"Horiuchi","given":"T","non-dropping-particle":"","parse-names":false,"suffix":""},{"dropping-particle":"","family":"Go","given":"N","non-dropping-particle":"","parse-names":false,"suffix":""}],"container-title":"Proteins: Structure, Function, and Genetics","id":"ITEM-1","issue":"2","issued":{"date-parts":[["1991","1"]]},"page":"106-116","title":"Projection of Monte Carlo and molecular dynamics trajectories onto the normal mode axes: human lysozyme.","type":"article-journal","volume":"10"},"uris":["http://www.mendeley.com/documents/?uuid=b480ab6a-5888-4df2-a34e-0cba47f9ac08"]}],"mendeley":{"formattedCitation":"&lt;sup&gt;29&lt;/sup&gt;","plainTextFormattedCitation":"29","previouslyFormattedCitation":"&lt;sup&gt;29&lt;/sup&gt;"},"properties":{"noteIndex":0},"schema":"https://github.com/citation-style-language/schema/raw/master/csl-citation.json"}</w:instrText>
      </w:r>
      <w:r>
        <w:rPr/>
        <w:fldChar w:fldCharType="separate"/>
      </w:r>
      <w:bookmarkStart w:id="31" w:name="__Fieldmark__560_1299088308"/>
      <w:r>
        <w:rPr/>
      </w:r>
      <w:r>
        <w:rPr>
          <w:color w:val="000000"/>
          <w:vertAlign w:val="superscript"/>
        </w:rPr>
        <w:t>29</w:t>
      </w:r>
      <w:r>
        <w:rPr/>
      </w:r>
      <w:r>
        <w:rPr/>
        <w:fldChar w:fldCharType="end"/>
      </w:r>
      <w:bookmarkEnd w:id="31"/>
      <w:r>
        <w:rPr>
          <w:color w:val="000000"/>
          <w:vertAlign w:val="superscript"/>
        </w:rPr>
        <w:t>,</w:t>
      </w:r>
      <w:r>
        <w:fldChar w:fldCharType="begin"/>
      </w:r>
      <w:r>
        <w:rPr/>
        <w:instrText>ADDIN CSL_CITATION {"citationItems":[{"id":"ITEM-1","itemData":{"author":[{"dropping-particle":"","family":"Aalten","given":"D M F;","non-dropping-particle":"van","parse-names":false,"suffix":""},{"dropping-particle":"","family":"Groot","given":"B L;","non-dropping-particle":"de","parse-names":false,"suffix":""},{"dropping-particle":"","family":"Findlay","given":"J B C;","non-dropping-particle":"","parse-names":false,"suffix":""},{"dropping-particle":"","family":"Berendsen","given":"H J C;","non-dropping-particle":"","parse-names":false,"suffix":""},{"dropping-particle":"","family":"Amadei","given":"A","non-dropping-particle":"","parse-names":false,"suffix":""}],"container-title":"Journal of computational chemistry","id":"ITEM-1","issue":"2","issued":{"date-parts":[["1997"]]},"page":"169-181","title":"A comparison of techniques for calculating protein essential dynamics","type":"article-journal","volume":"18"},"uris":["http://www.mendeley.com/documents/?uuid=89c0ebbf-6bf2-41ad-ba8e-5fd19254c82f"]}],"mendeley":{"formattedCitation":"&lt;sup&gt;30&lt;/sup&gt;","plainTextFormattedCitation":"30","previouslyFormattedCitation":"&lt;sup&gt;30&lt;/sup&gt;"},"properties":{"noteIndex":0},"schema":"https://github.com/citation-style-language/schema/raw/master/csl-citation.json"}</w:instrText>
      </w:r>
      <w:r>
        <w:rPr/>
        <w:fldChar w:fldCharType="separate"/>
      </w:r>
      <w:bookmarkStart w:id="32" w:name="__Fieldmark__565_1299088308"/>
      <w:r>
        <w:rPr/>
      </w:r>
      <w:r>
        <w:rPr>
          <w:color w:val="000000"/>
          <w:vertAlign w:val="superscript"/>
        </w:rPr>
        <w:t>30</w:t>
      </w:r>
      <w:r>
        <w:rPr/>
      </w:r>
      <w:r>
        <w:rPr/>
        <w:fldChar w:fldCharType="end"/>
      </w:r>
      <w:bookmarkEnd w:id="32"/>
      <w:r>
        <w:rPr>
          <w:color w:val="000000"/>
          <w:vertAlign w:val="superscript"/>
        </w:rPr>
        <w:t>,</w:t>
      </w:r>
      <w:r>
        <w:fldChar w:fldCharType="begin"/>
      </w:r>
      <w:r>
        <w:rPr/>
        <w:instrText>ADDIN CSL_CITATION {"citationItems":[{"id":"ITEM-1","itemData":{"author":[{"dropping-particle":"","family":"Jolliffe","given":"I T","non-dropping-particle":"","parse-names":false,"suffix":""}],"edition":"Springer S","id":"ITEM-1","issued":{"date-parts":[["2002"]]},"publisher":"Springer-Verlag","title":"Principal Component Analysis, Second Edition","type":"book"},"uris":["http://www.mendeley.com/documents/?uuid=49438d64-3a20-4eec-80d7-047a8ef2ccef"]}],"mendeley":{"formattedCitation":"&lt;sup&gt;31&lt;/sup&gt;","plainTextFormattedCitation":"31","previouslyFormattedCitation":"&lt;sup&gt;31&lt;/sup&gt;"},"properties":{"noteIndex":0},"schema":"https://github.com/citation-style-language/schema/raw/master/csl-citation.json"}</w:instrText>
      </w:r>
      <w:r>
        <w:rPr/>
        <w:fldChar w:fldCharType="separate"/>
      </w:r>
      <w:bookmarkStart w:id="33" w:name="__Fieldmark__570_1299088308"/>
      <w:r>
        <w:rPr/>
      </w:r>
      <w:r>
        <w:rPr>
          <w:color w:val="000000"/>
          <w:vertAlign w:val="superscript"/>
        </w:rPr>
        <w:t>31</w:t>
      </w:r>
      <w:r>
        <w:rPr/>
      </w:r>
      <w:r>
        <w:rPr/>
        <w:fldChar w:fldCharType="end"/>
      </w:r>
      <w:bookmarkEnd w:id="33"/>
      <w:r>
        <w:rPr>
          <w:color w:val="000000"/>
          <w:vertAlign w:val="superscript"/>
        </w:rPr>
        <w:t>,</w:t>
      </w:r>
      <w:r>
        <w:fldChar w:fldCharType="begin"/>
      </w:r>
      <w:r>
        <w:rPr/>
        <w:instrText>ADDIN CSL_CITATION {"citationItems":[{"id":"ITEM-1","itemData":{"DOI":"10.1007/978-1-62703-658-0","ISBN":"978-1-62703-657-3","author":[{"dropping-particle":"","family":"David","given":"Charles C","non-dropping-particle":"","parse-names":false,"suffix":""},{"dropping-particle":"","family":"Jacobs","given":"Donald J","non-dropping-particle":"","parse-names":false,"suffix":""}],"collection-title":"Methods in Molecular Biology","editor":[{"dropping-particle":"","family":"Livesay","given":"Dennis R.","non-dropping-particle":"","parse-names":false,"suffix":""}],"id":"ITEM-1","issued":{"date-parts":[["2014"]]},"number-of-pages":"193-226","publisher":"Humana Press","publisher-place":"Totowa, NJ","title":"Protein Dynamics","type":"book","volume":"1084"},"uris":["http://www.mendeley.com/documents/?uuid=38a17141-ee2d-4e27-8a47-92d1ba82fc98"]}],"mendeley":{"formattedCitation":"&lt;sup&gt;32&lt;/sup&gt;","plainTextFormattedCitation":"32","previouslyFormattedCitation":"&lt;sup&gt;32&lt;/sup&gt;"},"properties":{"noteIndex":0},"schema":"https://github.com/citation-style-language/schema/raw/master/csl-citation.json"}</w:instrText>
      </w:r>
      <w:r>
        <w:rPr/>
        <w:fldChar w:fldCharType="separate"/>
      </w:r>
      <w:bookmarkStart w:id="34" w:name="__Fieldmark__575_1299088308"/>
      <w:r>
        <w:rPr/>
      </w:r>
      <w:r>
        <w:rPr>
          <w:color w:val="000000"/>
          <w:vertAlign w:val="superscript"/>
        </w:rPr>
        <w:t>32</w:t>
      </w:r>
      <w:r>
        <w:rPr/>
      </w:r>
      <w:r>
        <w:rPr/>
        <w:fldChar w:fldCharType="end"/>
      </w:r>
      <w:bookmarkEnd w:id="34"/>
      <w:r>
        <w:rPr>
          <w:color w:val="000000"/>
          <w:vertAlign w:val="superscript"/>
        </w:rPr>
        <w:t>,</w:t>
      </w:r>
      <w:r>
        <w:fldChar w:fldCharType="begin"/>
      </w:r>
      <w:r>
        <w:rPr/>
        <w:instrText>ADDIN CSL_CITATION {"citationItems":[{"id":"ITEM-1","itemData":{"DOI":"10.1002/prot.340170408","ISSN":"0887-3585","PMID":"8108382","abstract":"Analysis of extended molecular dynamics (MD) simulations of lysozyme in vacuo and in aqueous solution reveals that it is possible to separate the configurational space into two subspaces: (1) an \"essential\" subspace containing only a few degrees of freedom in which anharmonic motion occurs that comprises most of the positional fluctuations; and (2) the remaining space in which the motion has a narrow Gaussian distribution and which can be considered as \"physically constrained.\" If overall translation and rotation are eliminated, the two spaces can be constructed by a simple linear transformation in Cartesian coordinate space, which remains valid over several hundred picoseconds. The transformation follows from the covariance matrix of the positional deviations. The essential degrees of freedom seem to describe motions which are relevant for the function of the protein, while the physically constrained subspace merely describes irrelevant local fluctuations. The near-constraint behavior of the latter subspace allows the separation of equations of motion and promises the possibility of investigating independently the essential space and performing dynamic simulations only in this reduced space.","author":[{"dropping-particle":"","family":"Amadei","given":"A;","non-dropping-particle":"","parse-names":false,"suffix":""},{"dropping-particle":"","family":"Linssen","given":"A B M;","non-dropping-particle":"","parse-names":false,"suffix":""},{"dropping-particle":"","family":"Berendsen","given":"H J C","non-dropping-particle":"","parse-names":false,"suffix":""}],"container-title":"Proteins: Structure, Function, and Genetics","id":"ITEM-1","issue":"4","issued":{"date-parts":[["1993","12"]]},"page":"412-425","title":"Essential dynamics of proteins.","type":"article-journal","volume":"17"},"uris":["http://www.mendeley.com/documents/?uuid=28fa47ad-f68c-4af1-bc7f-a178fc5a3b81"]}],"mendeley":{"formattedCitation":"&lt;sup&gt;33&lt;/sup&gt;","plainTextFormattedCitation":"33","previouslyFormattedCitation":"&lt;sup&gt;33&lt;/sup&gt;"},"properties":{"noteIndex":0},"schema":"https://github.com/citation-style-language/schema/raw/master/csl-citation.json"}</w:instrText>
      </w:r>
      <w:r>
        <w:rPr/>
        <w:fldChar w:fldCharType="separate"/>
      </w:r>
      <w:bookmarkStart w:id="35" w:name="__Fieldmark__580_1299088308"/>
      <w:r>
        <w:rPr/>
      </w:r>
      <w:r>
        <w:rPr>
          <w:color w:val="000000"/>
          <w:vertAlign w:val="superscript"/>
        </w:rPr>
        <w:t>33</w:t>
      </w:r>
      <w:r>
        <w:rPr/>
      </w:r>
      <w:r>
        <w:rPr/>
        <w:fldChar w:fldCharType="end"/>
      </w:r>
      <w:bookmarkEnd w:id="35"/>
      <w:r>
        <w:rPr>
          <w:color w:val="000000"/>
        </w:rPr>
        <w:t xml:space="preserve"> and, thereby, facilitate the study of long time dynamics. For the sake of consistency, we briefly review PCA below.</w:t>
      </w:r>
    </w:p>
    <w:p>
      <w:pPr>
        <w:pStyle w:val="Normal"/>
        <w:ind w:left="567" w:firstLine="709"/>
        <w:jc w:val="both"/>
        <w:rPr/>
      </w:pPr>
      <w:r>
        <w:rPr/>
        <w:t xml:space="preserve">Herein, PCA modes </w:t>
      </w:r>
      <w:r>
        <w:rPr>
          <w:b/>
        </w:rPr>
        <w:t>Q</w:t>
      </w:r>
      <w:r>
        <w:rPr>
          <w:i/>
          <w:vertAlign w:val="subscript"/>
        </w:rPr>
        <w:t>i</w:t>
      </w:r>
      <w:r>
        <w:rPr/>
        <w:t xml:space="preserve"> are 3</w:t>
      </w:r>
      <w:r>
        <w:rPr>
          <w:i/>
        </w:rPr>
        <w:t>N</w:t>
      </w:r>
      <w:r>
        <w:rPr/>
        <w:t xml:space="preserve"> orthogonal eigenvectors obtained as columns of the eigenvector matrix </w:t>
      </w:r>
      <w:r>
        <w:rPr>
          <w:b/>
        </w:rPr>
        <w:t>L</w:t>
      </w:r>
      <w:r>
        <w:rPr/>
        <w:t>, that results after diagonalizing (</w:t>
      </w:r>
      <w:r>
        <w:rPr/>
      </w:r>
      <m:oMath xmlns:m="http://schemas.openxmlformats.org/officeDocument/2006/math">
        <m:sSup>
          <m:e>
            <m:r>
              <w:rPr>
                <w:rFonts w:ascii="Cambria Math" w:hAnsi="Cambria Math"/>
              </w:rPr>
              <m:t xml:space="preserve">L</m:t>
            </m:r>
          </m:e>
          <m:sup>
            <m:r>
              <w:rPr>
                <w:rFonts w:ascii="Cambria Math" w:hAnsi="Cambria Math"/>
              </w:rPr>
              <m:t xml:space="preserve">T</m:t>
            </m:r>
          </m:sup>
        </m:sSup>
        <m:r>
          <w:rPr>
            <w:rFonts w:ascii="Cambria Math" w:hAnsi="Cambria Math"/>
          </w:rPr>
          <m:t xml:space="preserve">CL</m:t>
        </m:r>
        <m:r>
          <w:rPr>
            <w:rFonts w:ascii="Cambria Math" w:hAnsi="Cambria Math"/>
          </w:rPr>
          <m:t xml:space="preserve">=</m:t>
        </m:r>
        <m:r>
          <w:rPr>
            <w:rFonts w:ascii="Cambria Math" w:hAnsi="Cambria Math"/>
          </w:rPr>
          <m:t xml:space="preserve">Λ</m:t>
        </m:r>
      </m:oMath>
      <w:r>
        <w:rPr/>
        <w:t>)</w:t>
      </w:r>
      <w:r>
        <w:rPr>
          <w:b/>
        </w:rPr>
        <w:t xml:space="preserve"> </w:t>
      </w:r>
      <w:r>
        <w:rPr/>
        <w:t xml:space="preserve">the covariance matrix of atomic fluctuations </w:t>
      </w:r>
      <w:r>
        <w:rPr>
          <w:b/>
        </w:rPr>
        <w:t>C</w:t>
      </w:r>
      <w:r>
        <w:rPr/>
        <w:t xml:space="preserve"> whose elements are defined as:</w:t>
      </w:r>
    </w:p>
    <w:p>
      <w:pPr>
        <w:pStyle w:val="Normal"/>
        <w:ind w:left="567" w:firstLine="709"/>
        <w:jc w:val="both"/>
        <w:rPr/>
      </w:pPr>
      <w:r>
        <w:rPr/>
      </w:r>
    </w:p>
    <w:p>
      <w:pPr>
        <w:pStyle w:val="Normal"/>
        <w:ind w:left="567" w:firstLine="709"/>
        <w:jc w:val="both"/>
        <w:rPr/>
      </w:pPr>
      <w:r>
        <w:rPr/>
      </w:r>
      <m:oMath xmlns:m="http://schemas.openxmlformats.org/officeDocument/2006/math">
        <m:sSub>
          <m:e>
            <m:r>
              <w:rPr>
                <w:rFonts w:ascii="Cambria Math" w:hAnsi="Cambria Math"/>
              </w:rPr>
              <m:t xml:space="preserve">C</m:t>
            </m:r>
          </m:e>
          <m:sub>
            <m:r>
              <w:rPr>
                <w:rFonts w:ascii="Cambria Math" w:hAnsi="Cambria Math"/>
              </w:rPr>
              <m:t xml:space="preserve">ij</m:t>
            </m:r>
          </m:sub>
        </m:sSub>
        <m:r>
          <w:rPr>
            <w:rFonts w:ascii="Cambria Math" w:hAnsi="Cambria Math"/>
          </w:rPr>
          <m:t xml:space="preserve">=</m:t>
        </m:r>
        <m:d>
          <m:dPr>
            <m:begChr m:val="⟨"/>
            <m:endChr m:val="⟩"/>
          </m:dPr>
          <m:e>
            <m:sSub>
              <m:e>
                <m:r>
                  <w:rPr>
                    <w:rFonts w:ascii="Cambria Math" w:hAnsi="Cambria Math"/>
                  </w:rPr>
                  <m:t xml:space="preserve">q</m:t>
                </m:r>
              </m:e>
              <m:sub>
                <m:r>
                  <w:rPr>
                    <w:rFonts w:ascii="Cambria Math" w:hAnsi="Cambria Math"/>
                  </w:rPr>
                  <m:t xml:space="preserve">i</m:t>
                </m:r>
              </m:sub>
            </m:sSub>
            <m:sSub>
              <m:e>
                <m:r>
                  <w:rPr>
                    <w:rFonts w:ascii="Cambria Math" w:hAnsi="Cambria Math"/>
                  </w:rPr>
                  <m:t xml:space="preserve">q</m:t>
                </m:r>
              </m:e>
              <m:sub>
                <m:r>
                  <w:rPr>
                    <w:rFonts w:ascii="Cambria Math" w:hAnsi="Cambria Math"/>
                  </w:rPr>
                  <m:t xml:space="preserve">j</m:t>
                </m:r>
              </m:sub>
            </m:sSub>
          </m:e>
        </m:d>
        <m:r>
          <w:rPr>
            <w:rFonts w:ascii="Cambria Math" w:hAnsi="Cambria Math"/>
          </w:rPr>
          <m:t xml:space="preserve">=</m:t>
        </m:r>
        <m:f>
          <m:num>
            <m:r>
              <w:rPr>
                <w:rFonts w:ascii="Cambria Math" w:hAnsi="Cambria Math"/>
              </w:rPr>
              <m:t xml:space="preserve">1</m:t>
            </m:r>
          </m:num>
          <m:den>
            <m:r>
              <w:rPr>
                <w:rFonts w:ascii="Cambria Math" w:hAnsi="Cambria Math"/>
              </w:rPr>
              <m:t xml:space="preserve">K</m:t>
            </m:r>
          </m:den>
        </m:f>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K</m:t>
            </m:r>
          </m:sup>
          <m:e>
            <m:sSubSup>
              <m:e>
                <m:r>
                  <w:rPr>
                    <w:rFonts w:ascii="Cambria Math" w:hAnsi="Cambria Math"/>
                  </w:rPr>
                  <m:t xml:space="preserve">q</m:t>
                </m:r>
              </m:e>
              <m:sub>
                <m:r>
                  <w:rPr>
                    <w:rFonts w:ascii="Cambria Math" w:hAnsi="Cambria Math"/>
                  </w:rPr>
                  <m:t xml:space="preserve">i</m:t>
                </m:r>
              </m:sub>
              <m:sup>
                <m:r>
                  <w:rPr>
                    <w:rFonts w:ascii="Cambria Math" w:hAnsi="Cambria Math"/>
                  </w:rPr>
                  <m:t xml:space="preserve">k</m:t>
                </m:r>
              </m:sup>
            </m:sSubSup>
            <m:sSubSup>
              <m:e>
                <m:r>
                  <w:rPr>
                    <w:rFonts w:ascii="Cambria Math" w:hAnsi="Cambria Math"/>
                  </w:rPr>
                  <m:t xml:space="preserve">q</m:t>
                </m:r>
              </m:e>
              <m:sub>
                <m:r>
                  <w:rPr>
                    <w:rFonts w:ascii="Cambria Math" w:hAnsi="Cambria Math"/>
                  </w:rPr>
                  <m:t xml:space="preserve">j</m:t>
                </m:r>
              </m:sub>
              <m:sup>
                <m:r>
                  <w:rPr>
                    <w:rFonts w:ascii="Cambria Math" w:hAnsi="Cambria Math"/>
                  </w:rPr>
                  <m:t xml:space="preserve">k</m:t>
                </m:r>
              </m:sup>
            </m:sSubSup>
          </m:e>
        </m:nary>
      </m:oMath>
      <w:r>
        <w:rPr/>
        <w:tab/>
        <w:t xml:space="preserve">                              (1)</w:t>
        <w:tab/>
        <w:t xml:space="preserve">    </w:t>
      </w:r>
    </w:p>
    <w:p>
      <w:pPr>
        <w:pStyle w:val="Normal"/>
        <w:ind w:left="567" w:firstLine="709"/>
        <w:jc w:val="both"/>
        <w:rPr/>
      </w:pPr>
      <w:r>
        <w:rPr/>
      </w:r>
    </w:p>
    <w:p>
      <w:pPr>
        <w:pStyle w:val="Normal"/>
        <w:ind w:left="567" w:hanging="0"/>
        <w:jc w:val="both"/>
        <w:rPr/>
      </w:pPr>
      <w:r>
        <w:rPr/>
        <w:t xml:space="preserve">where the sum goes over the </w:t>
      </w:r>
      <w:r>
        <w:rPr>
          <w:i/>
        </w:rPr>
        <w:t>K</w:t>
      </w:r>
      <w:r>
        <w:rPr/>
        <w:t xml:space="preserve"> configurations stored during previously equilibrated MD simulations, </w:t>
      </w:r>
      <w:r>
        <w:rPr/>
      </w:r>
      <m:oMath xmlns:m="http://schemas.openxmlformats.org/officeDocument/2006/math">
        <m:sSubSup>
          <m:e>
            <m:r>
              <w:rPr>
                <w:rFonts w:ascii="Cambria Math" w:hAnsi="Cambria Math"/>
              </w:rPr>
              <m:t xml:space="preserve">q</m:t>
            </m:r>
          </m:e>
          <m:sub>
            <m:r>
              <w:rPr>
                <w:rFonts w:ascii="Cambria Math" w:hAnsi="Cambria Math"/>
              </w:rPr>
              <m:t xml:space="preserve">i</m:t>
            </m:r>
          </m:sub>
          <m:sup>
            <m:r>
              <w:rPr>
                <w:rFonts w:ascii="Cambria Math" w:hAnsi="Cambria Math"/>
              </w:rPr>
              <m:t xml:space="preserve">k</m:t>
            </m:r>
          </m:sup>
        </m:sSubSup>
        <m:r>
          <w:rPr>
            <w:rFonts w:ascii="Cambria Math" w:hAnsi="Cambria Math"/>
          </w:rPr>
          <m:t xml:space="preserve">=</m:t>
        </m:r>
        <m:rad>
          <m:radPr>
            <m:degHide m:val="1"/>
          </m:radPr>
          <m:deg/>
          <m:e>
            <m:sSub>
              <m:e>
                <m:r>
                  <w:rPr>
                    <w:rFonts w:ascii="Cambria Math" w:hAnsi="Cambria Math"/>
                  </w:rPr>
                  <m:t xml:space="preserve">m</m:t>
                </m:r>
              </m:e>
              <m:sub>
                <m:r>
                  <w:rPr>
                    <w:rFonts w:ascii="Cambria Math" w:hAnsi="Cambria Math"/>
                  </w:rPr>
                  <m:t xml:space="preserve">i</m:t>
                </m:r>
              </m:sub>
            </m:sSub>
          </m:e>
        </m:rad>
        <m:d>
          <m:dPr>
            <m:begChr m:val="("/>
            <m:endChr m:val=")"/>
          </m:dPr>
          <m:e>
            <m:sSubSup>
              <m:e>
                <m:r>
                  <w:rPr>
                    <w:rFonts w:ascii="Cambria Math" w:hAnsi="Cambria Math"/>
                  </w:rPr>
                  <m:t xml:space="preserve">x</m:t>
                </m:r>
              </m:e>
              <m:sub>
                <m:r>
                  <w:rPr>
                    <w:rFonts w:ascii="Cambria Math" w:hAnsi="Cambria Math"/>
                  </w:rPr>
                  <m:t xml:space="preserve">i</m:t>
                </m:r>
              </m:sub>
              <m:sup>
                <m:r>
                  <w:rPr>
                    <w:rFonts w:ascii="Cambria Math" w:hAnsi="Cambria Math"/>
                  </w:rPr>
                  <m:t xml:space="preserve">k</m:t>
                </m:r>
              </m:sup>
            </m:sSubSup>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i</m:t>
                    </m:r>
                  </m:sub>
                </m:sSub>
              </m:e>
            </m:d>
          </m:e>
        </m:d>
      </m:oMath>
      <w:r>
        <w:rPr/>
        <w:t xml:space="preserve"> is the mass-weighted internal displacement of Cartesian coordinate </w:t>
      </w:r>
      <w:r>
        <w:rPr/>
      </w:r>
      <m:oMath xmlns:m="http://schemas.openxmlformats.org/officeDocument/2006/math">
        <m:sSubSup>
          <m:e>
            <m:r>
              <w:rPr>
                <w:rFonts w:ascii="Cambria Math" w:hAnsi="Cambria Math"/>
              </w:rPr>
              <m:t xml:space="preserve">x</m:t>
            </m:r>
          </m:e>
          <m:sub>
            <m:r>
              <w:rPr>
                <w:rFonts w:ascii="Cambria Math" w:hAnsi="Cambria Math"/>
              </w:rPr>
              <m:t xml:space="preserve">i</m:t>
            </m:r>
          </m:sub>
          <m:sup>
            <m:r>
              <w:rPr>
                <w:rFonts w:ascii="Cambria Math" w:hAnsi="Cambria Math"/>
              </w:rPr>
              <m:t xml:space="preserve">k</m:t>
            </m:r>
          </m:sup>
        </m:sSubSup>
      </m:oMath>
      <w:r>
        <w:rPr/>
        <w:t xml:space="preserve"> of the </w:t>
      </w:r>
      <w:r>
        <w:rPr>
          <w:i/>
        </w:rPr>
        <w:t>i</w:t>
      </w:r>
      <w:r>
        <w:rPr>
          <w:i/>
          <w:vertAlign w:val="superscript"/>
        </w:rPr>
        <w:t>th</w:t>
      </w:r>
      <w:r>
        <w:rPr/>
        <w:t xml:space="preserve"> atom (</w:t>
      </w:r>
      <w:r>
        <w:rPr>
          <w:i/>
        </w:rPr>
        <w:t>i</w:t>
      </w:r>
      <w:r>
        <w:rPr/>
        <w:t>=1,…,</w:t>
      </w:r>
      <w:r>
        <w:rPr>
          <w:i/>
        </w:rPr>
        <w:t>N</w:t>
      </w:r>
      <w:r>
        <w:rPr/>
        <w:t xml:space="preserve">; </w:t>
      </w:r>
      <w:r>
        <w:rPr>
          <w:i/>
        </w:rPr>
        <w:t>N</w:t>
      </w:r>
      <w:r>
        <w:rPr/>
        <w:t>=number of residues in the protein(C</w:t>
      </w:r>
      <w:r>
        <w:rPr>
          <w:vertAlign w:val="subscript"/>
        </w:rPr>
        <w:t>α</w:t>
      </w:r>
      <w:r>
        <w:rPr/>
        <w:t xml:space="preserve">) with mass </w:t>
      </w:r>
      <w:r>
        <w:rPr>
          <w:i/>
        </w:rPr>
        <w:t>m</w:t>
      </w:r>
      <w:r>
        <w:rPr>
          <w:i/>
          <w:vertAlign w:val="subscript"/>
        </w:rPr>
        <w:t>i</w:t>
      </w:r>
      <w:r>
        <w:rPr/>
        <w:t xml:space="preserve">, and the angular brackets represent the average obtained from the </w:t>
      </w:r>
      <w:r>
        <w:rPr>
          <w:i/>
        </w:rPr>
        <w:t>K</w:t>
      </w:r>
      <w:r>
        <w:rPr/>
        <w:t xml:space="preserve"> configurations</w:t>
      </w:r>
      <w:r>
        <w:fldChar w:fldCharType="begin"/>
      </w:r>
      <w:r>
        <w:rPr/>
        <w:instrText>ADDIN CSL_CITATION {"citationItems":[{"id":"ITEM-1","itemData":{"DOI":"10.1002/prot.340170408","ISSN":"0887-3585","PMID":"8108382","abstract":"Analysis of extended molecular dynamics (MD) simulations of lysozyme in vacuo and in aqueous solution reveals that it is possible to separate the configurational space into two subspaces: (1) an \"essential\" subspace containing only a few degrees of freedom in which anharmonic motion occurs that comprises most of the positional fluctuations; and (2) the remaining space in which the motion has a narrow Gaussian distribution and which can be considered as \"physically constrained.\" If overall translation and rotation are eliminated, the two spaces can be constructed by a simple linear transformation in Cartesian coordinate space, which remains valid over several hundred picoseconds. The transformation follows from the covariance matrix of the positional deviations. The essential degrees of freedom seem to describe motions which are relevant for the function of the protein, while the physically constrained subspace merely describes irrelevant local fluctuations. The near-constraint behavior of the latter subspace allows the separation of equations of motion and promises the possibility of investigating independently the essential space and performing dynamic simulations only in this reduced space.","author":[{"dropping-particle":"","family":"Amadei","given":"A;","non-dropping-particle":"","parse-names":false,"suffix":""},{"dropping-particle":"","family":"Linssen","given":"A B M;","non-dropping-particle":"","parse-names":false,"suffix":""},{"dropping-particle":"","family":"Berendsen","given":"H J C","non-dropping-particle":"","parse-names":false,"suffix":""}],"container-title":"Proteins: Structure, Function, and Genetics","id":"ITEM-1","issue":"4","issued":{"date-parts":[["1993","12"]]},"page":"412-425","title":"Essential dynamics of proteins.","type":"article-journal","volume":"17"},"uris":["http://www.mendeley.com/documents/?uuid=28fa47ad-f68c-4af1-bc7f-a178fc5a3b81"]}],"mendeley":{"formattedCitation":"&lt;sup&gt;33&lt;/sup&gt;","plainTextFormattedCitation":"33","previouslyFormattedCitation":"&lt;sup&gt;33&lt;/sup&gt;"},"properties":{"noteIndex":0},"schema":"https://github.com/citation-style-language/schema/raw/master/csl-citation.json"}</w:instrText>
      </w:r>
      <w:r>
        <w:rPr/>
        <w:fldChar w:fldCharType="separate"/>
      </w:r>
      <w:bookmarkStart w:id="36" w:name="__Fieldmark__654_1299088308"/>
      <w:r>
        <w:rPr/>
      </w:r>
      <w:r>
        <w:rPr>
          <w:vertAlign w:val="superscript"/>
        </w:rPr>
        <w:t>33</w:t>
      </w:r>
      <w:r>
        <w:rPr/>
      </w:r>
      <w:r>
        <w:rPr/>
        <w:fldChar w:fldCharType="end"/>
      </w:r>
      <w:bookmarkEnd w:id="36"/>
      <w:r>
        <w:rPr/>
        <w:t xml:space="preserve">. The elements of the diagonal matrix </w:t>
      </w:r>
      <w:r>
        <w:rPr>
          <w:b/>
        </w:rPr>
        <w:t>Λ</w:t>
      </w:r>
      <w:r>
        <w:rPr/>
        <w:t xml:space="preserve"> represent the relative contribution of each PCA or essential mode (EM) to the overall fluctuation of the molecule. The eigenvectors are typically ordered according to descending eigenvalues, with the first PCA mode being the one with major contribution. </w:t>
      </w:r>
    </w:p>
    <w:p>
      <w:pPr>
        <w:pStyle w:val="Normal"/>
        <w:ind w:left="567" w:hanging="0"/>
        <w:jc w:val="both"/>
        <w:rPr>
          <w:rFonts w:ascii="Arial" w:hAnsi="Arial" w:cs="Arial"/>
          <w:sz w:val="20"/>
          <w:szCs w:val="20"/>
          <w:lang w:val="en-GB"/>
        </w:rPr>
      </w:pPr>
      <w:r>
        <w:rPr>
          <w:rFonts w:cs="Arial" w:ascii="Arial" w:hAnsi="Arial"/>
          <w:sz w:val="20"/>
          <w:szCs w:val="20"/>
          <w:lang w:val="en-GB"/>
        </w:rPr>
      </w:r>
    </w:p>
    <w:p>
      <w:pPr>
        <w:pStyle w:val="ListParagraph"/>
        <w:numPr>
          <w:ilvl w:val="0"/>
          <w:numId w:val="1"/>
        </w:numPr>
        <w:tabs>
          <w:tab w:val="left" w:pos="993" w:leader="none"/>
        </w:tabs>
        <w:spacing w:lineRule="auto" w:line="480" w:before="240" w:after="60"/>
        <w:ind w:left="567" w:hanging="0"/>
        <w:contextualSpacing/>
        <w:rPr>
          <w:i/>
          <w:i/>
          <w:iCs/>
          <w:color w:val="000000"/>
          <w:lang w:val="en-GB"/>
        </w:rPr>
      </w:pPr>
      <w:r>
        <w:rPr>
          <w:i/>
          <w:lang w:eastAsia="en-US"/>
        </w:rPr>
        <w:t xml:space="preserve">Ligand-cavities: definition, volume and flexibility  </w:t>
      </w:r>
    </w:p>
    <w:p>
      <w:pPr>
        <w:pStyle w:val="Normal"/>
        <w:ind w:left="567" w:firstLine="709"/>
        <w:jc w:val="both"/>
        <w:rPr>
          <w:color w:val="000000"/>
        </w:rPr>
      </w:pPr>
      <w:r>
        <w:rPr>
          <w:color w:val="000000"/>
        </w:rPr>
        <w:t>Ligand-cavities have been defined by visual inspection of the average of equilibrated MD structures and previous knowledge on each system. The complete list of residues lining the main ligand-binding cavity for each system is provided in Supplementary Materials (</w:t>
      </w:r>
      <w:r>
        <w:rPr>
          <w:b/>
          <w:color w:val="000000"/>
        </w:rPr>
        <w:t>Table S1</w:t>
      </w:r>
      <w:r>
        <w:rPr>
          <w:color w:val="000000"/>
        </w:rPr>
        <w:t>).</w:t>
      </w:r>
    </w:p>
    <w:p>
      <w:pPr>
        <w:pStyle w:val="Normal"/>
        <w:ind w:left="567" w:firstLine="709"/>
        <w:jc w:val="both"/>
        <w:rPr/>
      </w:pPr>
      <w:r>
        <w:rPr>
          <w:color w:val="000000"/>
        </w:rPr>
        <w:t xml:space="preserve"> </w:t>
      </w:r>
      <w:r>
        <w:rPr>
          <w:color w:val="000000"/>
        </w:rPr>
        <w:t>Cavity volumes are calculated using our previously developed method</w:t>
      </w:r>
      <w:r>
        <w:fldChar w:fldCharType="begin"/>
      </w:r>
      <w:r>
        <w:rPr/>
        <w:instrText>ADDIN CSL_CITATION {"citationItems":[{"id":"ITEM-1","itemData":{"abstract":"© 2017 American Chemical Society. Protein cavities and tunnels are critical for function. Ligand recognition and binding, transport, and enzyme catalysis require cavities rearrangements. Therefore, the flexibility of cavities should be guaranteed by protein vibrational dynamics. Molecular dynamics simulations provide a framework to explore conformational plasticity of protein cavities. Herein, we present a novel procedure to characterize the dynamics of protein cavities in terms of their volume gradient vector. For this purpose, we make use of algorithms for calculation of the cavity volume that result robust for numerical differentiations. Volume gradient vector is expressed in terms of principal component analysis obtained from equilibrated molecular dynamics simulations. We analyze contributions of principal component modes to the volume gradient vector according to their frequency and degree of delocalization. In all our test cases, we find that low frequency modes play a critical role together with minor contributions of high frequency modes. These modes involve concerted motions of significant fractions of the total residues lining the cavities. We make use of variations of the potential energy of a protein in the direction of the volume gradient vector as a measure of flexibility of the cavity. We show that proteins whose collective low frequency fluctuations contribute the most to changes of cavity volume exhibit more flexible cavities.","author":[{"dropping-particle":"","family":"Barletta","given":"G.P.","non-dropping-particle":"","parse-names":false,"suffix":""},{"dropping-particle":"","family":"Fernandez-Alberti","given":"S.","non-dropping-particle":"","parse-names":false,"suffix":""}],"container-title":"Journal of Chemical Theory and Computation","id":"ITEM-1","issue":"2","issued":{"date-parts":[["2018"]]},"page":"998-1008","title":"Protein Fluctuations and Cavity Changes Relationship","type":"article-journal","volume":"14"},"uris":["http://www.mendeley.com/documents/?uuid=b7536791-472b-32c4-8d39-49bcd0d2c709"]}],"mendeley":{"formattedCitation":"&lt;sup&gt;34&lt;/sup&gt;","plainTextFormattedCitation":"34","previouslyFormattedCitation":"&lt;sup&gt;34&lt;/sup&gt;"},"properties":{"noteIndex":0},"schema":"https://github.com/citation-style-language/schema/raw/master/csl-citation.json"}</w:instrText>
      </w:r>
      <w:r>
        <w:rPr/>
        <w:fldChar w:fldCharType="separate"/>
      </w:r>
      <w:bookmarkStart w:id="37" w:name="__Fieldmark__676_1299088308"/>
      <w:r>
        <w:rPr/>
      </w:r>
      <w:r>
        <w:rPr>
          <w:color w:val="000000"/>
          <w:vertAlign w:val="superscript"/>
        </w:rPr>
        <w:t>34</w:t>
      </w:r>
      <w:r>
        <w:rPr/>
      </w:r>
      <w:r>
        <w:rPr/>
        <w:fldChar w:fldCharType="end"/>
      </w:r>
      <w:bookmarkEnd w:id="37"/>
      <w:r>
        <w:rPr>
          <w:color w:val="000000"/>
        </w:rPr>
        <w:t>, particularly suited to measure changes in cavity volumes due to small atomic coordinate displacements in the direction of specific predefined directions of protein structural displacements. Following our previous works we make use of the Volume Gradient Vector (</w:t>
      </w:r>
      <w:r>
        <w:rPr/>
      </w:r>
      <m:oMath xmlns:m="http://schemas.openxmlformats.org/officeDocument/2006/math">
        <m:r>
          <w:rPr>
            <w:rFonts w:ascii="Cambria Math" w:hAnsi="Cambria Math"/>
          </w:rPr>
          <m:t xml:space="preserve">∇</m:t>
        </m:r>
      </m:oMath>
      <w:r>
        <w:rPr>
          <w:b/>
          <w:color w:val="000000"/>
        </w:rPr>
        <w:t>V</w:t>
      </w:r>
      <w:r>
        <w:rPr>
          <w:color w:val="000000"/>
          <w:vertAlign w:val="subscript"/>
        </w:rPr>
        <w:t>ol</w:t>
      </w:r>
      <w:r>
        <w:rPr>
          <w:color w:val="000000"/>
        </w:rPr>
        <w:t xml:space="preserve">), defined as the vector of partial derivatives of the cavity volume in the basis of PCA modes </w:t>
      </w:r>
      <w:r>
        <w:rPr/>
      </w:r>
      <m:oMath xmlns:m="http://schemas.openxmlformats.org/officeDocument/2006/math">
        <m:sSub>
          <m:e>
            <m:d>
              <m:dPr>
                <m:begChr m:val="{"/>
                <m:endChr m:val="}"/>
              </m:dPr>
              <m:e>
                <m:sSub>
                  <m:e>
                    <m:r>
                      <w:rPr>
                        <w:rFonts w:ascii="Cambria Math" w:hAnsi="Cambria Math"/>
                      </w:rPr>
                      <m:t xml:space="preserve">Q</m:t>
                    </m:r>
                  </m:e>
                  <m:sub>
                    <m:r>
                      <w:rPr>
                        <w:rFonts w:ascii="Cambria Math" w:hAnsi="Cambria Math"/>
                      </w:rPr>
                      <m:t xml:space="preserve">i</m:t>
                    </m:r>
                  </m:sub>
                </m:sSub>
              </m:e>
            </m:d>
          </m:e>
          <m:sub>
            <m:r>
              <w:rPr>
                <w:rFonts w:ascii="Cambria Math" w:hAnsi="Cambria Math"/>
              </w:rPr>
              <m:t xml:space="preserve">i</m:t>
            </m:r>
            <m:r>
              <w:rPr>
                <w:rFonts w:ascii="Cambria Math" w:hAnsi="Cambria Math"/>
              </w:rPr>
              <m:t xml:space="preserve">=</m:t>
            </m:r>
            <m:r>
              <w:rPr>
                <w:rFonts w:ascii="Cambria Math" w:hAnsi="Cambria Math"/>
              </w:rPr>
              <m:t xml:space="preserve">1,3</m:t>
            </m:r>
            <m:r>
              <w:rPr>
                <w:rFonts w:ascii="Cambria Math" w:hAnsi="Cambria Math"/>
              </w:rPr>
              <m:t xml:space="preserve">N</m:t>
            </m:r>
          </m:sub>
        </m:sSub>
      </m:oMath>
      <w:r>
        <w:rPr>
          <w:color w:val="000000" w:themeColor="text1"/>
        </w:rPr>
        <w:t>, that is,</w:t>
      </w:r>
    </w:p>
    <w:p>
      <w:pPr>
        <w:pStyle w:val="Normal"/>
        <w:ind w:left="567" w:firstLine="709"/>
        <w:jc w:val="both"/>
        <w:rPr>
          <w:color w:val="000000"/>
        </w:rPr>
      </w:pPr>
      <w:r>
        <w:rPr/>
      </w:r>
      <m:oMath xmlns:m="http://schemas.openxmlformats.org/officeDocument/2006/math">
        <m:sSub>
          <m:e>
            <m:r>
              <w:rPr>
                <w:rFonts w:ascii="Cambria Math" w:hAnsi="Cambria Math"/>
              </w:rPr>
              <m:t xml:space="preserve">V</m:t>
            </m:r>
          </m:e>
          <m:sub>
            <m:r>
              <w:rPr>
                <w:rFonts w:ascii="Cambria Math" w:hAnsi="Cambria Math"/>
              </w:rPr>
              <m:t xml:space="preserve">ol</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3</m:t>
            </m:r>
            <m:r>
              <w:rPr>
                <w:rFonts w:ascii="Cambria Math" w:hAnsi="Cambria Math"/>
              </w:rPr>
              <m:t xml:space="preserve">N</m:t>
            </m:r>
          </m:sup>
          <m:e>
            <m:sSub>
              <m:e>
                <m:r>
                  <w:rPr>
                    <w:rFonts w:ascii="Cambria Math" w:hAnsi="Cambria Math"/>
                  </w:rPr>
                  <m:t xml:space="preserve">c</m:t>
                </m:r>
              </m:e>
              <m:sub>
                <m:r>
                  <w:rPr>
                    <w:rFonts w:ascii="Cambria Math" w:hAnsi="Cambria Math"/>
                  </w:rPr>
                  <m:t xml:space="preserve">i</m:t>
                </m:r>
              </m:sub>
            </m:sSub>
            <m:sSub>
              <m:e>
                <m:r>
                  <w:rPr>
                    <w:rFonts w:ascii="Cambria Math" w:hAnsi="Cambria Math"/>
                  </w:rPr>
                  <m:t xml:space="preserve">Q</m:t>
                </m:r>
              </m:e>
              <m:sub>
                <m:r>
                  <w:rPr>
                    <w:rFonts w:ascii="Cambria Math" w:hAnsi="Cambria Math"/>
                  </w:rPr>
                  <m:t xml:space="preserve">i</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3</m:t>
                </m:r>
                <m:r>
                  <w:rPr>
                    <w:rFonts w:ascii="Cambria Math" w:hAnsi="Cambria Math"/>
                  </w:rPr>
                  <m:t xml:space="preserve">N</m:t>
                </m:r>
              </m:sup>
              <m:e>
                <m:f>
                  <m:num>
                    <m:r>
                      <w:rPr>
                        <w:rFonts w:ascii="Cambria Math" w:hAnsi="Cambria Math"/>
                      </w:rPr>
                      <m:t xml:space="preserve">∂</m:t>
                    </m:r>
                    <m:sSub>
                      <m:e>
                        <m:r>
                          <w:rPr>
                            <w:rFonts w:ascii="Cambria Math" w:hAnsi="Cambria Math"/>
                          </w:rPr>
                          <m:t xml:space="preserve">V</m:t>
                        </m:r>
                      </m:e>
                      <m:sub>
                        <m:r>
                          <w:rPr>
                            <w:rFonts w:ascii="Cambria Math" w:hAnsi="Cambria Math"/>
                          </w:rPr>
                          <m:t xml:space="preserve">ol</m:t>
                        </m:r>
                      </m:sub>
                    </m:sSub>
                  </m:num>
                  <m:den>
                    <m:r>
                      <w:rPr>
                        <w:rFonts w:ascii="Cambria Math" w:hAnsi="Cambria Math"/>
                      </w:rPr>
                      <m:t xml:space="preserve">∂</m:t>
                    </m:r>
                    <m:sSub>
                      <m:e>
                        <m:r>
                          <w:rPr>
                            <w:rFonts w:ascii="Cambria Math" w:hAnsi="Cambria Math"/>
                          </w:rPr>
                          <m:t xml:space="preserve">Q</m:t>
                        </m:r>
                      </m:e>
                      <m:sub>
                        <m:r>
                          <w:rPr>
                            <w:rFonts w:ascii="Cambria Math" w:hAnsi="Cambria Math"/>
                          </w:rPr>
                          <m:t xml:space="preserve">i</m:t>
                        </m:r>
                      </m:sub>
                    </m:sSub>
                  </m:den>
                </m:f>
                <m:sSub>
                  <m:e>
                    <m:r>
                      <w:rPr>
                        <w:rFonts w:ascii="Cambria Math" w:hAnsi="Cambria Math"/>
                      </w:rPr>
                      <m:t xml:space="preserve">Q</m:t>
                    </m:r>
                  </m:e>
                  <m:sub>
                    <m:r>
                      <w:rPr>
                        <w:rFonts w:ascii="Cambria Math" w:hAnsi="Cambria Math"/>
                      </w:rPr>
                      <m:t xml:space="preserve">i</m:t>
                    </m:r>
                  </m:sub>
                </m:sSub>
              </m:e>
            </m:nary>
          </m:e>
        </m:nary>
      </m:oMath>
      <w:r>
        <w:rPr/>
        <w:t xml:space="preserve">         </w:t>
      </w:r>
      <w:r>
        <w:rPr/>
        <w:t>(2)</w:t>
      </w:r>
    </w:p>
    <w:p>
      <w:pPr>
        <w:pStyle w:val="Normal"/>
        <w:ind w:left="567" w:hanging="0"/>
        <w:jc w:val="both"/>
        <w:rPr/>
      </w:pPr>
      <w:r>
        <w:rPr>
          <w:color w:val="000000"/>
        </w:rPr>
        <w:t>Within the frame of the quasi-harmonic analysis approximation</w:t>
      </w:r>
      <w:r>
        <w:fldChar w:fldCharType="begin"/>
      </w:r>
      <w:r>
        <w:rPr/>
        <w:instrText>ADDIN CSL_CITATION {"citationItems":[{"id":"ITEM-1","itemData":{"DOI":"10.1002/jcc.540161209","ISSN":"1096987X","abstract":"Methods have been developed for the determination of vibrational frequencies and normal modes of large systems in the full conformational space (including all degrees of freedom) and in a reduced conformational space (reducing the number of degrees of freedom). The computational method, which includes Hessian generation and storage, full and iterative diagonalization techniques, and the refinement of the results, is presented. A method is given for the quasiharmonic analysis and the reduced basis quasiharmonic analysis. The underlying principle is that from the atomic fluctuations, an effective harmonic force field can be determined relative to the dynamic average structure. Normal mode analysis tools can be used to characterize quasiharmonic modes of vibration. These correspond to conventional normal modes except that anharmonic effects are included. Numerous techniques for the analyses of vibrational frequencies and normal modes are described. Criteria for the analysis of the similarity of low-frequency normal modes is presented. The approach to determining the natural frequencies and normal modes of vibration described here is general and applicable to any large system.","author":[{"dropping-particle":"","family":"Brooks","given":"BR;","non-dropping-particle":"","parse-names":false,"suffix":""},{"dropping-particle":"","family":"Janezic","given":"D;","non-dropping-particle":"","parse-names":false,"suffix":""},{"dropping-particle":"","family":"Karplus","given":"M","non-dropping-particle":"","parse-names":false,"suffix":""}],"container-title":"Journal of Computational Chemistry","id":"ITEM-1","issue":"12","issued":{"date-parts":[["1995"]]},"page":"1522-1542","title":"Harmonic analysis of large systems. I. Methodology","type":"article-journal","volume":"16"},"uris":["http://www.mendeley.com/documents/?uuid=157e7c15-2051-4b05-bc17-4940ddd6efe2"]}],"mendeley":{"formattedCitation":"&lt;sup&gt;35&lt;/sup&gt;","plainTextFormattedCitation":"35","previouslyFormattedCitation":"&lt;sup&gt;35&lt;/sup&gt;"},"properties":{"noteIndex":0},"schema":"https://github.com/citation-style-language/schema/raw/master/csl-citation.json"}</w:instrText>
      </w:r>
      <w:r>
        <w:rPr/>
        <w:fldChar w:fldCharType="separate"/>
      </w:r>
      <w:bookmarkStart w:id="38" w:name="__Fieldmark__700_1299088308"/>
      <w:r>
        <w:rPr/>
      </w:r>
      <w:r>
        <w:rPr>
          <w:color w:val="000000"/>
          <w:vertAlign w:val="superscript"/>
        </w:rPr>
        <w:t>35</w:t>
      </w:r>
      <w:r>
        <w:rPr/>
      </w:r>
      <w:r>
        <w:rPr/>
        <w:fldChar w:fldCharType="end"/>
      </w:r>
      <w:bookmarkEnd w:id="38"/>
      <w:r>
        <w:rPr>
          <w:color w:val="000000"/>
        </w:rPr>
        <w:t xml:space="preserve">, the variation of the potential energy of a protein in the direction of </w:t>
      </w:r>
      <w:r>
        <w:rPr/>
      </w:r>
      <m:oMath xmlns:m="http://schemas.openxmlformats.org/officeDocument/2006/math">
        <m:r>
          <w:rPr>
            <w:rFonts w:ascii="Cambria Math" w:hAnsi="Cambria Math"/>
          </w:rPr>
          <m:t xml:space="preserve">∇</m:t>
        </m:r>
      </m:oMath>
      <w:r>
        <w:rPr>
          <w:b/>
          <w:color w:val="000000"/>
        </w:rPr>
        <w:t>V</w:t>
      </w:r>
      <w:r>
        <w:rPr>
          <w:color w:val="000000"/>
          <w:vertAlign w:val="subscript"/>
        </w:rPr>
        <w:t>o</w:t>
      </w:r>
      <w:r>
        <w:rPr>
          <w:color w:val="000000"/>
        </w:rPr>
        <w:t xml:space="preserve"> is defined as </w:t>
      </w:r>
    </w:p>
    <w:p>
      <w:pPr>
        <w:pStyle w:val="Normal"/>
        <w:ind w:left="567" w:firstLine="709"/>
        <w:jc w:val="both"/>
        <w:rPr>
          <w:color w:val="000000"/>
        </w:rPr>
      </w:pPr>
      <w:r>
        <w:rPr/>
      </w:r>
      <m:oMath xmlns:m="http://schemas.openxmlformats.org/officeDocument/2006/math">
        <m:r>
          <w:rPr>
            <w:rFonts w:ascii="Cambria Math" w:hAnsi="Cambria Math"/>
          </w:rPr>
          <m:t xml:space="preserve">∆</m:t>
        </m:r>
        <m:sSub>
          <m:e>
            <m:r>
              <w:rPr>
                <w:rFonts w:ascii="Cambria Math" w:hAnsi="Cambria Math"/>
              </w:rPr>
              <m:t xml:space="preserve">E</m:t>
            </m:r>
          </m:e>
          <m:sub>
            <m:r>
              <w:rPr>
                <w:rFonts w:ascii="Cambria Math" w:hAnsi="Cambria Math"/>
              </w:rPr>
              <m:t xml:space="preserve">∇</m:t>
            </m:r>
            <m:sSub>
              <m:e>
                <m:r>
                  <w:rPr>
                    <w:rFonts w:ascii="Cambria Math" w:hAnsi="Cambria Math"/>
                  </w:rPr>
                  <m:t xml:space="preserve">V</m:t>
                </m:r>
              </m:e>
              <m:sub>
                <m:r>
                  <w:rPr>
                    <w:rFonts w:ascii="Cambria Math" w:hAnsi="Cambria Math"/>
                  </w:rPr>
                  <m:t xml:space="preserve">ol</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3</m:t>
                </m:r>
                <m:r>
                  <w:rPr>
                    <w:rFonts w:ascii="Cambria Math" w:hAnsi="Cambria Math"/>
                  </w:rPr>
                  <m:t xml:space="preserve">N</m:t>
                </m:r>
              </m:sup>
              <m:e>
                <m:sSub>
                  <m:e>
                    <m:r>
                      <w:rPr>
                        <w:rFonts w:ascii="Cambria Math" w:hAnsi="Cambria Math"/>
                      </w:rPr>
                      <m:t xml:space="preserve">∆</m:t>
                    </m:r>
                    <m:r>
                      <w:rPr>
                        <w:rFonts w:ascii="Cambria Math" w:hAnsi="Cambria Math"/>
                      </w:rPr>
                      <m:t xml:space="preserve">E</m:t>
                    </m:r>
                  </m:e>
                  <m:sub>
                    <m:sSub>
                      <m:e>
                        <m:r>
                          <w:rPr>
                            <w:rFonts w:ascii="Cambria Math" w:hAnsi="Cambria Math"/>
                          </w:rPr>
                          <m:t xml:space="preserve">Q</m:t>
                        </m:r>
                      </m:e>
                      <m:sub>
                        <m:r>
                          <w:rPr>
                            <w:rFonts w:ascii="Cambria Math" w:hAnsi="Cambria Math"/>
                          </w:rPr>
                          <m:t xml:space="preserve">i</m:t>
                        </m:r>
                      </m:sub>
                    </m:sSub>
                  </m:sub>
                </m:sSub>
              </m:e>
            </m:nary>
          </m:sub>
        </m:sSub>
      </m:oMath>
      <w:r>
        <w:rPr>
          <w:color w:val="000000" w:themeColor="text1"/>
        </w:rPr>
        <w:t xml:space="preserve">                     </w:t>
      </w:r>
      <w:r>
        <w:rPr>
          <w:color w:val="000000" w:themeColor="text1"/>
        </w:rPr>
        <w:t>(3)</w:t>
      </w:r>
    </w:p>
    <w:p>
      <w:pPr>
        <w:pStyle w:val="Normal"/>
        <w:ind w:left="567" w:hanging="0"/>
        <w:jc w:val="both"/>
        <w:rPr>
          <w:color w:val="000000"/>
        </w:rPr>
      </w:pPr>
      <w:r>
        <w:rPr>
          <w:color w:val="000000"/>
        </w:rPr>
        <w:t xml:space="preserve">  </w:t>
      </w:r>
      <w:r>
        <w:rPr>
          <w:color w:val="000000"/>
        </w:rPr>
        <w:t>with</w:t>
      </w:r>
    </w:p>
    <w:p>
      <w:pPr>
        <w:pStyle w:val="Normal"/>
        <w:ind w:left="567" w:firstLine="709"/>
        <w:jc w:val="both"/>
        <w:rPr>
          <w:color w:val="000000"/>
        </w:rPr>
      </w:pPr>
      <w:r>
        <w:rPr/>
      </w:r>
      <m:oMath xmlns:m="http://schemas.openxmlformats.org/officeDocument/2006/math">
        <m:sSub>
          <m:e>
            <m:r>
              <w:rPr>
                <w:rFonts w:ascii="Cambria Math" w:hAnsi="Cambria Math"/>
              </w:rPr>
              <m:t xml:space="preserve">∆</m:t>
            </m:r>
            <m:r>
              <w:rPr>
                <w:rFonts w:ascii="Cambria Math" w:hAnsi="Cambria Math"/>
              </w:rPr>
              <m:t xml:space="preserve">E</m:t>
            </m:r>
          </m:e>
          <m:sub>
            <m:sSub>
              <m:e>
                <m:r>
                  <w:rPr>
                    <w:rFonts w:ascii="Cambria Math" w:hAnsi="Cambria Math"/>
                  </w:rPr>
                  <m:t xml:space="preserve">Q</m:t>
                </m:r>
              </m:e>
              <m:sub>
                <m:r>
                  <w:rPr>
                    <w:rFonts w:ascii="Cambria Math" w:hAnsi="Cambria Math"/>
                  </w:rPr>
                  <m:t xml:space="preserve">i</m:t>
                </m:r>
              </m:sub>
            </m:sSub>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k</m:t>
            </m:r>
          </m:e>
          <m:sub>
            <m:r>
              <w:rPr>
                <w:rFonts w:ascii="Cambria Math" w:hAnsi="Cambria Math"/>
              </w:rPr>
              <m:t xml:space="preserve">i</m:t>
            </m:r>
          </m:sub>
        </m:sSub>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sSup>
          <m:e>
            <m:r>
              <w:rPr>
                <w:rFonts w:ascii="Cambria Math" w:hAnsi="Cambria Math"/>
              </w:rPr>
              <m:t xml:space="preserve">∆</m:t>
            </m:r>
            <m:r>
              <w:rPr>
                <w:rFonts w:ascii="Cambria Math" w:hAnsi="Cambria Math"/>
              </w:rPr>
              <m:t xml:space="preserve">X</m:t>
            </m:r>
          </m:e>
          <m:sup>
            <m:r>
              <w:rPr>
                <w:rFonts w:ascii="Cambria Math" w:hAnsi="Cambria Math"/>
              </w:rPr>
              <m:t xml:space="preserve">2</m:t>
            </m:r>
          </m:sup>
        </m:sSup>
      </m:oMath>
      <w:r>
        <w:rPr>
          <w:color w:val="000000" w:themeColor="text1"/>
        </w:rPr>
        <w:t xml:space="preserve">                      </w:t>
      </w:r>
      <w:r>
        <w:rPr>
          <w:color w:val="000000" w:themeColor="text1"/>
        </w:rPr>
        <w:t>(4)</w:t>
      </w:r>
    </w:p>
    <w:p>
      <w:pPr>
        <w:pStyle w:val="Normal"/>
        <w:ind w:left="567" w:hanging="0"/>
        <w:jc w:val="both"/>
        <w:rPr>
          <w:rFonts w:ascii="Arial" w:hAnsi="Arial" w:cs="Arial"/>
          <w:sz w:val="20"/>
          <w:szCs w:val="20"/>
        </w:rPr>
      </w:pPr>
      <w:r>
        <w:rPr>
          <w:color w:val="000000"/>
        </w:rPr>
        <w:t xml:space="preserve">being </w:t>
      </w:r>
      <w:r>
        <w:rPr/>
      </w:r>
      <m:oMath xmlns:m="http://schemas.openxmlformats.org/officeDocument/2006/math">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k</m:t>
                </m:r>
              </m:e>
              <m:sub>
                <m:r>
                  <w:rPr>
                    <w:rFonts w:ascii="Cambria Math" w:hAnsi="Cambria Math"/>
                  </w:rPr>
                  <m:t xml:space="preserve">B</m:t>
                </m:r>
              </m:sub>
            </m:sSub>
            <m:r>
              <w:rPr>
                <w:rFonts w:ascii="Cambria Math" w:hAnsi="Cambria Math"/>
              </w:rPr>
              <m:t xml:space="preserve">T</m:t>
            </m:r>
          </m:num>
          <m:den>
            <m:sSub>
              <m:e>
                <m:r>
                  <w:rPr>
                    <w:rFonts w:ascii="Cambria Math" w:hAnsi="Cambria Math"/>
                  </w:rPr>
                  <m:t xml:space="preserve">λ</m:t>
                </m:r>
              </m:e>
              <m:sub>
                <m:r>
                  <w:rPr>
                    <w:rFonts w:ascii="Cambria Math" w:hAnsi="Cambria Math"/>
                  </w:rPr>
                  <m:t xml:space="preserve">i</m:t>
                </m:r>
              </m:sub>
            </m:sSub>
          </m:den>
        </m:f>
      </m:oMath>
      <w:r>
        <w:rPr>
          <w:color w:val="000000"/>
        </w:rPr>
        <w:t xml:space="preserve">,  </w:t>
      </w:r>
      <w:r>
        <w:rPr>
          <w:i/>
          <w:color w:val="000000"/>
        </w:rPr>
        <w:t>k</w:t>
      </w:r>
      <w:r>
        <w:rPr>
          <w:i/>
          <w:color w:val="000000"/>
          <w:vertAlign w:val="subscript"/>
        </w:rPr>
        <w:t>B</w:t>
      </w:r>
      <w:r>
        <w:rPr>
          <w:color w:val="000000"/>
        </w:rPr>
        <w:t xml:space="preserve"> the Boltzmann constant and T the absolute temperature (300K). </w:t>
      </w:r>
      <w:r>
        <w:rPr>
          <w:rFonts w:eastAsia="Symbol" w:cs="Symbol" w:ascii="Symbol" w:hAnsi="Symbol"/>
          <w:i/>
          <w:color w:val="000000"/>
        </w:rPr>
        <w:t></w:t>
      </w:r>
      <w:r>
        <w:rPr>
          <w:i/>
          <w:color w:val="000000"/>
        </w:rPr>
        <w:t>X</w:t>
      </w:r>
      <w:r>
        <w:rPr>
          <w:color w:val="000000"/>
        </w:rPr>
        <w:t xml:space="preserve"> represents a relative displacement in the direction of </w:t>
      </w:r>
      <w:r>
        <w:rPr/>
      </w:r>
      <m:oMath xmlns:m="http://schemas.openxmlformats.org/officeDocument/2006/math">
        <m:r>
          <w:rPr>
            <w:rFonts w:ascii="Cambria Math" w:hAnsi="Cambria Math"/>
          </w:rPr>
          <m:t xml:space="preserve">∇</m:t>
        </m:r>
      </m:oMath>
      <w:r>
        <w:rPr>
          <w:b/>
          <w:color w:val="000000"/>
        </w:rPr>
        <w:t>V</w:t>
      </w:r>
      <w:r>
        <w:rPr>
          <w:color w:val="000000"/>
          <w:vertAlign w:val="subscript"/>
        </w:rPr>
        <w:t>ol</w:t>
      </w:r>
      <w:r>
        <w:rPr>
          <w:color w:val="000000"/>
        </w:rPr>
        <w:t xml:space="preserve">. Therefore, we consider </w:t>
      </w:r>
      <w:r>
        <w:rPr/>
      </w:r>
      <m:oMath xmlns:m="http://schemas.openxmlformats.org/officeDocument/2006/math">
        <m:r>
          <w:rPr>
            <w:rFonts w:ascii="Cambria Math" w:hAnsi="Cambria Math"/>
          </w:rPr>
          <m:t xml:space="preserve">∆</m:t>
        </m:r>
        <m:sSub>
          <m:e>
            <m:r>
              <w:rPr>
                <w:rFonts w:ascii="Cambria Math" w:hAnsi="Cambria Math"/>
              </w:rPr>
              <m:t xml:space="preserve">E</m:t>
            </m:r>
          </m:e>
          <m:sub>
            <m:r>
              <w:rPr>
                <w:rFonts w:ascii="Cambria Math" w:hAnsi="Cambria Math"/>
              </w:rPr>
              <m:t xml:space="preserve">∇</m:t>
            </m:r>
            <m:sSub>
              <m:e>
                <m:r>
                  <w:rPr>
                    <w:rFonts w:ascii="Cambria Math" w:hAnsi="Cambria Math"/>
                  </w:rPr>
                  <m:t xml:space="preserve">V</m:t>
                </m:r>
              </m:e>
              <m:sub>
                <m:r>
                  <w:rPr>
                    <w:rFonts w:ascii="Cambria Math" w:hAnsi="Cambria Math"/>
                  </w:rPr>
                  <m:t xml:space="preserve">ol</m:t>
                </m:r>
              </m:sub>
            </m:sSub>
          </m:sub>
        </m:sSub>
      </m:oMath>
      <w:r>
        <w:rPr>
          <w:color w:val="000000" w:themeColor="text1"/>
        </w:rPr>
        <w:t xml:space="preserve"> as </w:t>
      </w:r>
      <w:r>
        <w:rPr>
          <w:color w:val="000000"/>
        </w:rPr>
        <w:t>measure of flexibility of the cavities.</w:t>
      </w:r>
    </w:p>
    <w:p>
      <w:pPr>
        <w:pStyle w:val="Normal"/>
        <w:ind w:left="567" w:hanging="0"/>
        <w:jc w:val="both"/>
        <w:rPr>
          <w:rFonts w:ascii="Arial" w:hAnsi="Arial" w:cs="Arial"/>
          <w:sz w:val="20"/>
          <w:szCs w:val="20"/>
        </w:rPr>
      </w:pPr>
      <w:r>
        <w:rPr>
          <w:rFonts w:cs="Arial" w:ascii="Arial" w:hAnsi="Arial"/>
          <w:sz w:val="20"/>
          <w:szCs w:val="20"/>
        </w:rPr>
      </w:r>
    </w:p>
    <w:p>
      <w:pPr>
        <w:pStyle w:val="Normal"/>
        <w:ind w:left="567" w:hanging="0"/>
        <w:rPr>
          <w:rFonts w:ascii="Arial" w:hAnsi="Arial" w:cs="Arial"/>
          <w:sz w:val="20"/>
          <w:szCs w:val="20"/>
          <w:lang w:val="en-GB"/>
        </w:rPr>
      </w:pPr>
      <w:r>
        <w:rPr>
          <w:rFonts w:cs="Arial" w:ascii="Arial" w:hAnsi="Arial"/>
          <w:sz w:val="20"/>
          <w:szCs w:val="20"/>
          <w:lang w:val="en-GB"/>
        </w:rPr>
      </w:r>
    </w:p>
    <w:p>
      <w:pPr>
        <w:pStyle w:val="Heading2"/>
        <w:rPr/>
      </w:pPr>
      <w:r>
        <w:rPr/>
        <w:t>III. RESULTS AND DISCUSSION</w:t>
      </w:r>
    </w:p>
    <w:p>
      <w:pPr>
        <w:pStyle w:val="ListParagraph"/>
        <w:numPr>
          <w:ilvl w:val="0"/>
          <w:numId w:val="2"/>
        </w:numPr>
        <w:tabs>
          <w:tab w:val="left" w:pos="993" w:leader="none"/>
        </w:tabs>
        <w:spacing w:lineRule="auto" w:line="480" w:before="240" w:after="60"/>
        <w:ind w:left="567" w:hanging="0"/>
        <w:contextualSpacing/>
        <w:rPr>
          <w:i/>
          <w:i/>
          <w:iCs/>
          <w:color w:val="000000"/>
          <w:lang w:val="en-GB"/>
        </w:rPr>
      </w:pPr>
      <w:r>
        <w:rPr>
          <w:i/>
          <w:lang w:eastAsia="en-US"/>
        </w:rPr>
        <w:t xml:space="preserve">α-helix rich </w:t>
      </w:r>
      <w:r>
        <w:rPr>
          <w:i/>
          <w:color w:val="000000"/>
          <w:lang w:eastAsia="en-US"/>
        </w:rPr>
        <w:t>FARs</w:t>
      </w:r>
    </w:p>
    <w:p>
      <w:pPr>
        <w:pStyle w:val="Normal"/>
        <w:ind w:left="567" w:firstLine="709"/>
        <w:jc w:val="both"/>
        <w:rPr>
          <w:bCs/>
          <w:color w:val="000000"/>
        </w:rPr>
      </w:pPr>
      <w:r>
        <w:rPr>
          <w:bCs/>
          <w:color w:val="000000"/>
        </w:rPr>
        <w:t xml:space="preserve">While most of FABPs presents a β-barrel folding, FARs reveals an unusual α-helical fold. In the case of Na-FAR-1, it consists of a wedge-shaped structure composed of 11 helices with different lengths that enclose an internal ligand-binding cavity. The overall ligand-binding conformational change involve a global RMSD of 1.14 </w:t>
      </w:r>
      <w:r>
        <w:rPr>
          <w:color w:val="000000" w:themeColor="text1"/>
        </w:rPr>
        <w:t>Å</w:t>
      </w:r>
      <w:r>
        <w:rPr>
          <w:bCs/>
          <w:color w:val="000000"/>
        </w:rPr>
        <w:t xml:space="preserve"> between conformers, calculated from the all-atom (</w:t>
      </w:r>
      <w:r>
        <w:rPr>
          <w:bCs/>
          <w:color w:val="FF0000"/>
        </w:rPr>
        <w:t>or alpha carbon? Yo pondria alpha carbon en todos</w:t>
      </w:r>
      <w:r>
        <w:rPr>
          <w:bCs/>
          <w:color w:val="000000"/>
        </w:rPr>
        <w:t xml:space="preserve">) superposition of averaged </w:t>
      </w:r>
      <w:r>
        <w:rPr>
          <w:bCs/>
          <w:i/>
          <w:color w:val="000000"/>
        </w:rPr>
        <w:t>apo-</w:t>
      </w:r>
      <w:r>
        <w:rPr>
          <w:bCs/>
          <w:color w:val="000000"/>
        </w:rPr>
        <w:t xml:space="preserve"> and </w:t>
      </w:r>
      <w:r>
        <w:rPr>
          <w:bCs/>
          <w:i/>
          <w:color w:val="000000"/>
        </w:rPr>
        <w:t>holo-</w:t>
      </w:r>
      <w:r>
        <w:rPr>
          <w:bCs/>
          <w:color w:val="000000"/>
        </w:rPr>
        <w:t xml:space="preserve">structures obtained from the corresponding equilibrated MD simulations(see </w:t>
      </w:r>
      <w:r>
        <w:rPr>
          <w:b/>
          <w:bCs/>
          <w:color w:val="000000"/>
        </w:rPr>
        <w:t>Figure 1(a)</w:t>
      </w:r>
      <w:r>
        <w:rPr>
          <w:bCs/>
          <w:color w:val="000000"/>
        </w:rPr>
        <w:t xml:space="preserve"> and </w:t>
      </w:r>
      <w:r>
        <w:rPr>
          <w:b/>
          <w:bCs/>
          <w:color w:val="000000"/>
        </w:rPr>
        <w:t>(b)</w:t>
      </w:r>
      <w:r>
        <w:rPr>
          <w:bCs/>
          <w:color w:val="000000"/>
        </w:rPr>
        <w:t xml:space="preserve">). The main structural distortions upon ligand binding are localized on helices </w:t>
      </w:r>
      <w:r>
        <w:rPr>
          <w:bCs/>
          <w:color w:val="FF0000"/>
          <w:lang w:val="es-AR"/>
        </w:rPr>
        <w:t>α</w:t>
      </w:r>
      <w:r>
        <w:rPr>
          <w:bCs/>
          <w:color w:val="FF0000"/>
        </w:rPr>
        <w:t xml:space="preserve">X, </w:t>
      </w:r>
      <w:r>
        <w:rPr>
          <w:bCs/>
          <w:color w:val="FF0000"/>
          <w:lang w:val="es-AR"/>
        </w:rPr>
        <w:t>α</w:t>
      </w:r>
      <w:r>
        <w:rPr>
          <w:bCs/>
          <w:color w:val="FF0000"/>
        </w:rPr>
        <w:t xml:space="preserve">XX… </w:t>
      </w:r>
      <w:r>
        <w:rPr>
          <w:bCs/>
          <w:color w:val="FF0000"/>
          <w:lang w:val="es-AR"/>
        </w:rPr>
        <w:t>α</w:t>
      </w:r>
      <w:r>
        <w:rPr>
          <w:bCs/>
          <w:color w:val="FF0000"/>
        </w:rPr>
        <w:t>X-</w:t>
      </w:r>
      <w:r>
        <w:rPr>
          <w:bCs/>
          <w:color w:val="FF0000"/>
          <w:lang w:val="es-AR"/>
        </w:rPr>
        <w:t>α</w:t>
      </w:r>
      <w:r>
        <w:rPr>
          <w:bCs/>
          <w:color w:val="FF0000"/>
        </w:rPr>
        <w:t xml:space="preserve">X loop. </w:t>
      </w:r>
      <w:r>
        <w:rPr>
          <w:bCs/>
          <w:color w:val="000000" w:themeColor="text1"/>
        </w:rPr>
        <w:t xml:space="preserve">Among these SSE, </w:t>
      </w:r>
      <w:r>
        <w:rPr>
          <w:bCs/>
          <w:color w:val="FF0000"/>
          <w:lang w:val="es-AR"/>
        </w:rPr>
        <w:t>α</w:t>
      </w:r>
      <w:r>
        <w:rPr>
          <w:bCs/>
          <w:color w:val="FF0000"/>
        </w:rPr>
        <w:t xml:space="preserve">X, </w:t>
      </w:r>
      <w:r>
        <w:rPr>
          <w:bCs/>
          <w:color w:val="FF0000"/>
          <w:lang w:val="es-AR"/>
        </w:rPr>
        <w:t>α</w:t>
      </w:r>
      <w:r>
        <w:rPr>
          <w:bCs/>
          <w:color w:val="FF0000"/>
        </w:rPr>
        <w:t xml:space="preserve">XX… </w:t>
      </w:r>
      <w:r>
        <w:rPr>
          <w:bCs/>
          <w:color w:val="FF0000"/>
          <w:lang w:val="es-AR"/>
        </w:rPr>
        <w:t>α</w:t>
      </w:r>
      <w:r>
        <w:rPr>
          <w:bCs/>
          <w:color w:val="FF0000"/>
        </w:rPr>
        <w:t>X-</w:t>
      </w:r>
      <w:r>
        <w:rPr>
          <w:bCs/>
          <w:color w:val="FF0000"/>
          <w:lang w:val="es-AR"/>
        </w:rPr>
        <w:t>α</w:t>
      </w:r>
      <w:r>
        <w:rPr>
          <w:bCs/>
          <w:color w:val="FF0000"/>
        </w:rPr>
        <w:t xml:space="preserve">X loop </w:t>
      </w:r>
      <w:r>
        <w:rPr>
          <w:bCs/>
          <w:color w:val="000000" w:themeColor="text1"/>
        </w:rPr>
        <w:t xml:space="preserve">have shown the largest root mean square fluctuations (RMSF) (see </w:t>
      </w:r>
      <w:r>
        <w:rPr>
          <w:b/>
          <w:bCs/>
          <w:color w:val="000000" w:themeColor="text1"/>
        </w:rPr>
        <w:t>Figure S1</w:t>
      </w:r>
      <w:r>
        <w:rPr>
          <w:bCs/>
          <w:color w:val="000000" w:themeColor="text1"/>
        </w:rPr>
        <w:t xml:space="preserve">) during our </w:t>
      </w:r>
      <w:r>
        <w:rPr>
          <w:bCs/>
          <w:color w:val="000000"/>
        </w:rPr>
        <w:t xml:space="preserve">MD simulations, particularly residues </w:t>
      </w:r>
      <w:r>
        <w:rPr>
          <w:bCs/>
          <w:color w:val="FF0000"/>
        </w:rPr>
        <w:t>X, XX, XXX</w:t>
      </w:r>
      <w:r>
        <w:rPr>
          <w:bCs/>
          <w:color w:val="000000"/>
        </w:rPr>
        <w:t xml:space="preserve"> present the largest relative flexibility.  </w:t>
      </w:r>
      <w:r>
        <w:rPr>
          <w:bCs/>
          <w:color w:val="FF0000"/>
        </w:rPr>
        <w:t>Which of them lines the surface of the internal cavity? We need a conexion between SSE(or residues) with the largest RMSF and those that line the surface of the cavity.</w:t>
      </w:r>
    </w:p>
    <w:p>
      <w:pPr>
        <w:pStyle w:val="Normal"/>
        <w:ind w:left="567" w:hanging="0"/>
        <w:jc w:val="both"/>
        <w:rPr/>
      </w:pPr>
      <w:r>
        <w:rPr>
          <w:bCs/>
          <w:color w:val="000000"/>
        </w:rPr>
        <w:t xml:space="preserve">A further inspection of the </w:t>
      </w:r>
      <w:r>
        <w:rPr>
          <w:color w:val="000000"/>
          <w:lang w:eastAsia="en-US"/>
        </w:rPr>
        <w:t xml:space="preserve">internal ligand-binding cavity can be seen in </w:t>
      </w:r>
      <w:r>
        <w:rPr>
          <w:b/>
          <w:color w:val="000000"/>
          <w:lang w:eastAsia="en-US"/>
        </w:rPr>
        <w:t>Figures 1(c)</w:t>
      </w:r>
      <w:r>
        <w:rPr>
          <w:color w:val="000000"/>
          <w:lang w:eastAsia="en-US"/>
        </w:rPr>
        <w:t xml:space="preserve"> and </w:t>
      </w:r>
      <w:r>
        <w:rPr>
          <w:b/>
          <w:color w:val="000000"/>
          <w:lang w:eastAsia="en-US"/>
        </w:rPr>
        <w:t>(d)</w:t>
      </w:r>
      <w:r>
        <w:rPr>
          <w:color w:val="000000"/>
          <w:lang w:eastAsia="en-US"/>
        </w:rPr>
        <w:t xml:space="preserve"> where the distributions of cavity volumes, calculated over the set of structures collected during the equilibrated MD simulations of </w:t>
      </w:r>
      <w:r>
        <w:rPr>
          <w:i/>
          <w:color w:val="000000"/>
          <w:lang w:eastAsia="en-US"/>
        </w:rPr>
        <w:t>apo-</w:t>
      </w:r>
      <w:r>
        <w:rPr>
          <w:color w:val="000000"/>
          <w:lang w:eastAsia="en-US"/>
        </w:rPr>
        <w:t xml:space="preserve"> and </w:t>
      </w:r>
      <w:r>
        <w:rPr>
          <w:i/>
          <w:color w:val="000000"/>
          <w:lang w:eastAsia="en-US"/>
        </w:rPr>
        <w:t>holo-</w:t>
      </w:r>
      <w:r>
        <w:rPr>
          <w:color w:val="000000"/>
          <w:lang w:eastAsia="en-US"/>
        </w:rPr>
        <w:t>Na-FAR-1, are shown. Their average values are 1353 ±254 Å</w:t>
      </w:r>
      <w:r>
        <w:rPr>
          <w:color w:val="000000"/>
          <w:vertAlign w:val="superscript"/>
          <w:lang w:eastAsia="en-US"/>
        </w:rPr>
        <w:t>3</w:t>
      </w:r>
      <w:r>
        <w:rPr>
          <w:color w:val="000000"/>
          <w:lang w:eastAsia="en-US"/>
        </w:rPr>
        <w:t xml:space="preserve"> and 1397±266 Å</w:t>
      </w:r>
      <w:r>
        <w:rPr>
          <w:color w:val="000000"/>
          <w:vertAlign w:val="superscript"/>
          <w:lang w:eastAsia="en-US"/>
        </w:rPr>
        <w:t xml:space="preserve">3 </w:t>
      </w:r>
      <w:r>
        <w:rPr>
          <w:color w:val="000000"/>
          <w:lang w:eastAsia="en-US"/>
        </w:rPr>
        <w:t>respectively. These values differ from the corresponding 940 Å</w:t>
      </w:r>
      <w:r>
        <w:rPr>
          <w:color w:val="000000"/>
          <w:vertAlign w:val="superscript"/>
          <w:lang w:eastAsia="en-US"/>
        </w:rPr>
        <w:t>3</w:t>
      </w:r>
      <w:r>
        <w:rPr>
          <w:color w:val="000000"/>
          <w:lang w:eastAsia="en-US"/>
        </w:rPr>
        <w:t xml:space="preserve"> and 2170 Å</w:t>
      </w:r>
      <w:r>
        <w:rPr>
          <w:color w:val="000000"/>
          <w:vertAlign w:val="superscript"/>
          <w:lang w:eastAsia="en-US"/>
        </w:rPr>
        <w:t>3</w:t>
      </w:r>
      <w:r>
        <w:rPr>
          <w:color w:val="000000"/>
          <w:lang w:eastAsia="en-US"/>
        </w:rPr>
        <w:t xml:space="preserve"> calculated on the initial experimental structures</w:t>
      </w:r>
      <w:r>
        <w:fldChar w:fldCharType="begin"/>
      </w:r>
      <w:r>
        <w:rPr/>
        <w:instrText>ADDIN CSL_CITATION {"citationItems":[{"id":"ITEM-1","itemData":{"DOI":"10.1042/BJ20150068","author":[{"dropping-particle":"","family":"Rey-Burusco","given":"MF;","non-dropping-particle":"","parse-names":false,"suffix":""},{"dropping-particle":"","family":"Ibañez-Shimabukuro","given":"M;","non-dropping-particle":"","parse-names":false,"suffix":""},{"dropping-particle":"","family":"Gabrielsen","given":"M;","non-dropping-particle":"","parse-names":false,"suffix":""},{"dropping-particle":"","family":"Franchini","given":"GR;","non-dropping-particle":"","parse-names":false,"suffix":""},{"dropping-particle":"","family":"Roe","given":"AJ;","non-dropping-particle":"","parse-names":false,"suffix":""},{"dropping-particle":"","family":"Smith","given":"BO;","non-dropping-particle":"","parse-names":false,"suffix":""},{"dropping-particle":"","family":"Griffiths","given":"K;","non-dropping-particle":"","parse-names":false,"suffix":""},{"dropping-particle":"","family":"Zhan","given":"B;","non-dropping-particle":"","parse-names":false,"suffix":""},{"dropping-particle":"","family":"Cooper","given":"A;","non-dropping-particle":"","parse-names":false,"suffix":""},{"dropping-particle":"","family":"Kennedy","given":"MW;","non-dropping-particle":"","parse-names":false,"suffix":""},{"dropping-particle":"","family":"Betina","given":"C","non-dropping-particle":"","parse-names":false,"suffix":""}],"container-title":"Biochem. J.","id":"ITEM-1","issued":{"date-parts":[["2015"]]},"page":"403-414","title":"Diversity in the structures and ligand-binding sites of nematode fatty acid and retinol-binding proteins revealed by Na-FAR-1 from Necator americanus","type":"article-journal","volume":"471"},"uris":["http://www.mendeley.com/documents/?uuid=88476f14-8909-4525-b9d6-0cd303b633bf"]}],"mendeley":{"formattedCitation":"&lt;sup&gt;17&lt;/sup&gt;","plainTextFormattedCitation":"17","previouslyFormattedCitation":"&lt;sup&gt;17&lt;/sup&gt;"},"properties":{"noteIndex":0},"schema":"https://github.com/citation-style-language/schema/raw/master/csl-citation.json"}</w:instrText>
      </w:r>
      <w:r>
        <w:rPr/>
        <w:fldChar w:fldCharType="separate"/>
      </w:r>
      <w:bookmarkStart w:id="39" w:name="__Fieldmark__871_1299088308"/>
      <w:r>
        <w:rPr/>
      </w:r>
      <w:r>
        <w:rPr>
          <w:color w:val="000000"/>
          <w:vertAlign w:val="superscript"/>
          <w:lang w:eastAsia="en-US"/>
        </w:rPr>
        <w:t>17</w:t>
      </w:r>
      <w:r>
        <w:rPr/>
      </w:r>
      <w:r>
        <w:rPr/>
        <w:fldChar w:fldCharType="end"/>
      </w:r>
      <w:bookmarkEnd w:id="39"/>
      <w:r>
        <w:rPr>
          <w:color w:val="000000"/>
        </w:rPr>
        <w:t xml:space="preserve">. As we have pointed out previously, we define internal cavities according to average structures obtained from our MD simulations. The distributions shown in </w:t>
      </w:r>
      <w:r>
        <w:rPr>
          <w:b/>
          <w:color w:val="000000"/>
          <w:lang w:eastAsia="en-US"/>
        </w:rPr>
        <w:t>Figures 1(c)</w:t>
      </w:r>
      <w:r>
        <w:rPr>
          <w:color w:val="000000"/>
          <w:lang w:eastAsia="en-US"/>
        </w:rPr>
        <w:t xml:space="preserve"> and </w:t>
      </w:r>
      <w:r>
        <w:rPr>
          <w:b/>
          <w:color w:val="000000"/>
          <w:lang w:eastAsia="en-US"/>
        </w:rPr>
        <w:t>(d)</w:t>
      </w:r>
      <w:r>
        <w:rPr>
          <w:color w:val="000000"/>
        </w:rPr>
        <w:t xml:space="preserve"> are the result of the protein thermal fluctuations that can involve different conformational changes throughout the 3-μs of MD simulations. Fluctuations of helices that form the cavity introduce relatively small protein structural rearrangements that can lead to significant changes on the internal cavity size</w:t>
      </w:r>
      <w:r>
        <w:fldChar w:fldCharType="begin"/>
      </w:r>
      <w:r>
        <w:rPr/>
        <w:instrText>ADDIN CSL_CITATION {"citationItems":[{"id":"ITEM-1","itemData":{"DOI":"10.1371/journal.pcbi.1005398","ISSN":"15537358","abstract":"© 2017 Monzon et al. Protein motions are a key feature to understand biological function. Recently, a large-scale analysis of protein conformational diversity showed a positively skewed distribution with a peak at 0.5 Å C-alpha root-mean-square-deviation (RMSD). To understand this distribution in terms of structure-function relationships, we studied a well curated and large dataset of ~5,000 proteins with experimentally determined conformational diversity. We searched for global behaviour patterns studying how structure-based features change among the available conformer population for each protein. This procedure allowed us to describe the RMSD distribution in terms of three main protein classes sharing given properties. The largest of these protein subsets (~60%), which we call “rigid” (average RMSD = 0.83 Å), has no disordered regions, shows low conformational diversity, the largest tunnels and smaller and buried cavities. The two additional subsets contain disordered regions, but with differential sequence composition and behaviour. Partially disordered proteins have on average 67% of their conformers with disordered regions, average RMSD = 1.1 Å, the highest number of hinges and the longest disordered regions. In contrast, malleable proteins have on average only 25% of disordered conformers and average RMSD = 1.3 Å, flexible cavities affected in size by the presence of disordered regions and show the highest diversity of cognate ligands. Proteins in each set are mostly non-homologous to each other, share no given fold class, nor functional similarity but do share features derived from their conformer population. These shared features could represent conformational mechanisms related with biological functions.","author":[{"dropping-particle":"","family":"Monzon","given":"A.M.","non-dropping-particle":"","parse-names":false,"suffix":""},{"dropping-particle":"","family":"Zea","given":"D.J.","non-dropping-particle":"","parse-names":false,"suffix":""},{"dropping-particle":"","family":"Fornasari","given":"M.S.","non-dropping-particle":"","parse-names":false,"suffix":""},{"dropping-particle":"","family":"Saldaño","given":"T.E.","non-dropping-particle":"","parse-names":false,"suffix":""},{"dropping-particle":"","family":"Fernandez-Alberti","given":"S.","non-dropping-particle":"","parse-names":false,"suffix":""},{"dropping-particle":"","family":"Tosatto","given":"S.C.E.","non-dropping-particle":"","parse-names":false,"suffix":""},{"dropping-particle":"","family":"Parisi","given":"G.","non-dropping-particle":"","parse-names":false,"suffix":""}],"container-title":"PLoS Computational Biology","id":"ITEM-1","issue":"2","issued":{"date-parts":[["2017"]]},"title":"Conformational diversity analysis reveals three functional mechanisms in proteins","type":"article-journal","volume":"13"},"uris":["http://www.mendeley.com/documents/?uuid=383111ee-84d8-3686-b1cf-890fea7663cd"]}],"mendeley":{"formattedCitation":"&lt;sup&gt;36&lt;/sup&gt;","plainTextFormattedCitation":"36","previouslyFormattedCitation":"&lt;sup&gt;36&lt;/sup&gt;"},"properties":{"noteIndex":0},"schema":"https://github.com/citation-style-language/schema/raw/master/csl-citation.json"}</w:instrText>
      </w:r>
      <w:r>
        <w:rPr/>
        <w:fldChar w:fldCharType="separate"/>
      </w:r>
      <w:bookmarkStart w:id="40" w:name="__Fieldmark__888_1299088308"/>
      <w:r>
        <w:rPr/>
      </w:r>
      <w:r>
        <w:rPr>
          <w:color w:val="000000"/>
          <w:vertAlign w:val="superscript"/>
        </w:rPr>
        <w:t>36</w:t>
      </w:r>
      <w:r>
        <w:rPr/>
      </w:r>
      <w:r>
        <w:rPr/>
        <w:fldChar w:fldCharType="end"/>
      </w:r>
      <w:bookmarkEnd w:id="40"/>
      <w:r>
        <w:rPr>
          <w:color w:val="000000"/>
        </w:rPr>
        <w:t xml:space="preserve">. Histograms shown in </w:t>
      </w:r>
      <w:r>
        <w:rPr>
          <w:b/>
          <w:color w:val="000000"/>
          <w:lang w:eastAsia="en-US"/>
        </w:rPr>
        <w:t>Figures 1(c)</w:t>
      </w:r>
      <w:r>
        <w:rPr>
          <w:color w:val="000000"/>
          <w:lang w:eastAsia="en-US"/>
        </w:rPr>
        <w:t xml:space="preserve"> and </w:t>
      </w:r>
      <w:r>
        <w:rPr>
          <w:b/>
          <w:color w:val="000000"/>
          <w:lang w:eastAsia="en-US"/>
        </w:rPr>
        <w:t>(d)</w:t>
      </w:r>
      <w:r>
        <w:rPr>
          <w:color w:val="000000"/>
        </w:rPr>
        <w:t xml:space="preserve"> reveal that internal cavity can duplicate its volume due to protein fluctuations. While the distribution of volume cavities for </w:t>
      </w:r>
      <w:r>
        <w:rPr>
          <w:i/>
          <w:color w:val="000000"/>
          <w:lang w:eastAsia="en-US"/>
        </w:rPr>
        <w:t>apo-</w:t>
      </w:r>
      <w:r>
        <w:rPr>
          <w:color w:val="000000"/>
          <w:lang w:eastAsia="en-US"/>
        </w:rPr>
        <w:t xml:space="preserve">Na-FAR-1 corresponds to a Gaussian distribution that can be associated to thermal fluctuations around a unique protein conformation, this is not the case for </w:t>
      </w:r>
      <w:r>
        <w:rPr>
          <w:i/>
          <w:color w:val="000000"/>
          <w:lang w:eastAsia="en-US"/>
        </w:rPr>
        <w:t>holo-</w:t>
      </w:r>
      <w:r>
        <w:rPr>
          <w:color w:val="000000"/>
          <w:lang w:eastAsia="en-US"/>
        </w:rPr>
        <w:t>Na-FAR-1.</w:t>
      </w:r>
      <w:r>
        <w:rPr>
          <w:color w:val="000000"/>
        </w:rPr>
        <w:t xml:space="preserve"> </w:t>
      </w:r>
    </w:p>
    <w:p>
      <w:pPr>
        <w:pStyle w:val="Normal"/>
        <w:ind w:left="567" w:firstLine="709"/>
        <w:jc w:val="both"/>
        <w:rPr>
          <w:color w:val="000000"/>
          <w:lang w:eastAsia="en-US"/>
        </w:rPr>
      </w:pPr>
      <w:r>
        <w:rPr>
          <w:color w:val="000000"/>
        </w:rPr>
        <w:t xml:space="preserve">Volume cavity changes can be associated to protein fluctuations. Therefore, in order to elucidate this feature, MD simulations were analyzed in terms of PCA. The </w:t>
      </w:r>
      <w:r>
        <w:rPr>
          <w:color w:val="000000"/>
          <w:lang w:eastAsia="en-US"/>
        </w:rPr>
        <w:t>1</w:t>
      </w:r>
      <w:r>
        <w:rPr>
          <w:color w:val="000000"/>
          <w:vertAlign w:val="superscript"/>
          <w:lang w:eastAsia="en-US"/>
        </w:rPr>
        <w:t>st</w:t>
      </w:r>
      <w:r>
        <w:rPr>
          <w:color w:val="000000"/>
          <w:lang w:eastAsia="en-US"/>
        </w:rPr>
        <w:t xml:space="preserve"> and 2</w:t>
      </w:r>
      <w:r>
        <w:rPr>
          <w:color w:val="000000"/>
          <w:vertAlign w:val="superscript"/>
          <w:lang w:eastAsia="en-US"/>
        </w:rPr>
        <w:t>nd</w:t>
      </w:r>
      <w:r>
        <w:rPr>
          <w:color w:val="000000"/>
          <w:lang w:eastAsia="en-US"/>
        </w:rPr>
        <w:t xml:space="preserve"> PCA modes of </w:t>
      </w:r>
      <w:r>
        <w:rPr>
          <w:i/>
          <w:color w:val="000000"/>
          <w:lang w:eastAsia="en-US"/>
        </w:rPr>
        <w:t>apo-</w:t>
      </w:r>
      <w:r>
        <w:rPr>
          <w:color w:val="000000"/>
          <w:lang w:eastAsia="en-US"/>
        </w:rPr>
        <w:t xml:space="preserve"> and </w:t>
      </w:r>
      <w:r>
        <w:rPr>
          <w:i/>
          <w:color w:val="000000"/>
          <w:lang w:eastAsia="en-US"/>
        </w:rPr>
        <w:t>holo-</w:t>
      </w:r>
      <w:r>
        <w:rPr>
          <w:color w:val="000000"/>
          <w:lang w:eastAsia="en-US"/>
        </w:rPr>
        <w:t xml:space="preserve">Na-FAR-1are shown in </w:t>
      </w:r>
      <w:r>
        <w:rPr>
          <w:b/>
          <w:color w:val="000000"/>
        </w:rPr>
        <w:t xml:space="preserve">Figure 2(a) </w:t>
      </w:r>
      <w:r>
        <w:rPr>
          <w:color w:val="000000"/>
        </w:rPr>
        <w:t>and</w:t>
      </w:r>
      <w:r>
        <w:rPr>
          <w:b/>
          <w:color w:val="000000"/>
        </w:rPr>
        <w:t xml:space="preserve"> (b)</w:t>
      </w:r>
      <w:r>
        <w:rPr>
          <w:color w:val="000000"/>
        </w:rPr>
        <w:t>.</w:t>
      </w:r>
      <w:r>
        <w:rPr>
          <w:b/>
          <w:color w:val="000000"/>
        </w:rPr>
        <w:t xml:space="preserve"> </w:t>
      </w:r>
      <w:r>
        <w:rPr>
          <w:color w:val="FF0000"/>
          <w:lang w:val="es-AR" w:eastAsia="en-US"/>
        </w:rPr>
        <w:t xml:space="preserve">Descripcion del movimiento que involucra c/u y su relacion con los SSE que forman las paredes de la cavidad. </w:t>
      </w:r>
      <w:r>
        <w:rPr>
          <w:b/>
          <w:color w:val="000000"/>
        </w:rPr>
        <w:t xml:space="preserve">Figure 3(a) </w:t>
      </w:r>
      <w:r>
        <w:rPr>
          <w:color w:val="000000"/>
        </w:rPr>
        <w:t>and</w:t>
      </w:r>
      <w:r>
        <w:rPr>
          <w:b/>
          <w:color w:val="000000"/>
        </w:rPr>
        <w:t xml:space="preserve"> (b) </w:t>
      </w:r>
      <w:r>
        <w:rPr>
          <w:color w:val="000000"/>
        </w:rPr>
        <w:t>shows the projection of the</w:t>
      </w:r>
      <w:r>
        <w:rPr>
          <w:color w:val="000000"/>
          <w:lang w:eastAsia="en-US"/>
        </w:rPr>
        <w:t xml:space="preserve"> set of MD snapshots of </w:t>
      </w:r>
      <w:r>
        <w:rPr>
          <w:i/>
          <w:color w:val="000000"/>
          <w:lang w:eastAsia="en-US"/>
        </w:rPr>
        <w:t>apo-</w:t>
      </w:r>
      <w:r>
        <w:rPr>
          <w:color w:val="000000"/>
          <w:lang w:eastAsia="en-US"/>
        </w:rPr>
        <w:t xml:space="preserve"> and </w:t>
      </w:r>
      <w:r>
        <w:rPr>
          <w:i/>
          <w:color w:val="000000"/>
          <w:lang w:eastAsia="en-US"/>
        </w:rPr>
        <w:t>holo-</w:t>
      </w:r>
      <w:r>
        <w:rPr>
          <w:color w:val="000000"/>
          <w:lang w:eastAsia="en-US"/>
        </w:rPr>
        <w:t>Na-FAR-1 onto their corresponding 1</w:t>
      </w:r>
      <w:r>
        <w:rPr>
          <w:color w:val="000000"/>
          <w:vertAlign w:val="superscript"/>
          <w:lang w:eastAsia="en-US"/>
        </w:rPr>
        <w:t>st</w:t>
      </w:r>
      <w:r>
        <w:rPr>
          <w:color w:val="000000"/>
          <w:lang w:eastAsia="en-US"/>
        </w:rPr>
        <w:t xml:space="preserve"> and 2</w:t>
      </w:r>
      <w:r>
        <w:rPr>
          <w:color w:val="000000"/>
          <w:vertAlign w:val="superscript"/>
          <w:lang w:eastAsia="en-US"/>
        </w:rPr>
        <w:t>nd</w:t>
      </w:r>
      <w:r>
        <w:rPr>
          <w:color w:val="000000"/>
          <w:lang w:eastAsia="en-US"/>
        </w:rPr>
        <w:t xml:space="preserve"> PCA modes. Thermal fluctuations of </w:t>
      </w:r>
      <w:r>
        <w:rPr>
          <w:i/>
          <w:color w:val="000000"/>
          <w:lang w:eastAsia="en-US"/>
        </w:rPr>
        <w:t>apo-</w:t>
      </w:r>
      <w:r>
        <w:rPr>
          <w:color w:val="000000"/>
          <w:lang w:eastAsia="en-US"/>
        </w:rPr>
        <w:t xml:space="preserve">Na-FAR-1 are revealed as gradual combinations of both modes without showing significant prevalence of structural distortions in any specific direction. That is, </w:t>
      </w:r>
      <w:r>
        <w:rPr>
          <w:i/>
          <w:color w:val="000000"/>
          <w:lang w:eastAsia="en-US"/>
        </w:rPr>
        <w:t>apo-</w:t>
      </w:r>
      <w:r>
        <w:rPr>
          <w:color w:val="000000"/>
          <w:lang w:eastAsia="en-US"/>
        </w:rPr>
        <w:t>Na-FAR-1 does not visit any new conformation that persist</w:t>
      </w:r>
      <w:r>
        <w:rPr>
          <w:color w:val="000000"/>
        </w:rPr>
        <w:t xml:space="preserve"> a significant amount of time during the MD simulation.  On the contrary, we can observe that </w:t>
      </w:r>
      <w:r>
        <w:rPr>
          <w:i/>
          <w:color w:val="000000"/>
          <w:lang w:eastAsia="en-US"/>
        </w:rPr>
        <w:t>holo-</w:t>
      </w:r>
      <w:r>
        <w:rPr>
          <w:color w:val="000000"/>
          <w:lang w:eastAsia="en-US"/>
        </w:rPr>
        <w:t>Na-FAR-1 actually evidence the existence of three different conformers: two stable conformers presenting structural distortions mainly in both senses of the direction of the 1</w:t>
      </w:r>
      <w:r>
        <w:rPr>
          <w:color w:val="000000"/>
          <w:vertAlign w:val="superscript"/>
          <w:lang w:eastAsia="en-US"/>
        </w:rPr>
        <w:t>st</w:t>
      </w:r>
      <w:r>
        <w:rPr>
          <w:color w:val="000000"/>
          <w:lang w:eastAsia="en-US"/>
        </w:rPr>
        <w:t xml:space="preserve"> PCA mode (conformers A and B (</w:t>
      </w:r>
      <w:r>
        <w:rPr>
          <w:color w:val="FF0000"/>
          <w:lang w:eastAsia="en-US"/>
        </w:rPr>
        <w:t>ponerles A y B en las indicaciones de las figuras</w:t>
      </w:r>
      <w:r>
        <w:rPr>
          <w:color w:val="000000"/>
          <w:lang w:eastAsia="en-US"/>
        </w:rPr>
        <w:t>), and a third conformer C in the direction of the 2</w:t>
      </w:r>
      <w:r>
        <w:rPr>
          <w:color w:val="000000"/>
          <w:vertAlign w:val="superscript"/>
          <w:lang w:eastAsia="en-US"/>
        </w:rPr>
        <w:t>nd</w:t>
      </w:r>
      <w:r>
        <w:rPr>
          <w:color w:val="000000"/>
          <w:lang w:eastAsia="en-US"/>
        </w:rPr>
        <w:t xml:space="preserve"> PCA mode. </w:t>
      </w:r>
      <w:r>
        <w:rPr>
          <w:color w:val="FF0000"/>
          <w:lang w:val="es-AR" w:eastAsia="en-US"/>
        </w:rPr>
        <w:t xml:space="preserve">Descripcion de los 3 conformers y sus diferencias, RMSD entre ellos y cuales son los SSE en que mas se diferencian y su relacion con la cavidad. </w:t>
      </w:r>
      <w:r>
        <w:rPr>
          <w:color w:val="000000"/>
          <w:lang w:eastAsia="en-US"/>
        </w:rPr>
        <w:t xml:space="preserve">Therefore, the distribution of internal cavity volumes shown in </w:t>
      </w:r>
      <w:r>
        <w:rPr>
          <w:b/>
          <w:color w:val="000000"/>
          <w:lang w:eastAsia="en-US"/>
        </w:rPr>
        <w:t>Figure 1(d)</w:t>
      </w:r>
      <w:r>
        <w:rPr>
          <w:color w:val="000000"/>
          <w:lang w:eastAsia="en-US"/>
        </w:rPr>
        <w:t xml:space="preserve"> can be interpreted as the contribution of three different conformations explored by </w:t>
      </w:r>
      <w:r>
        <w:rPr>
          <w:i/>
          <w:color w:val="000000"/>
          <w:lang w:eastAsia="en-US"/>
        </w:rPr>
        <w:t>holo-</w:t>
      </w:r>
      <w:r>
        <w:rPr>
          <w:color w:val="000000"/>
          <w:lang w:eastAsia="en-US"/>
        </w:rPr>
        <w:t xml:space="preserve">Na-FAR-1 during the MD simulation. </w:t>
      </w:r>
      <w:r>
        <w:rPr>
          <w:b/>
          <w:color w:val="000000"/>
          <w:lang w:eastAsia="en-US"/>
        </w:rPr>
        <w:t>Figure 4(a)</w:t>
      </w:r>
      <w:r>
        <w:rPr>
          <w:color w:val="000000"/>
          <w:lang w:eastAsia="en-US"/>
        </w:rPr>
        <w:t xml:space="preserve"> shows the distribution of cavity volumes for each of them (</w:t>
      </w:r>
      <w:r>
        <w:rPr>
          <w:color w:val="FF0000"/>
          <w:lang w:eastAsia="en-US"/>
        </w:rPr>
        <w:t>poner conformer A, B y C</w:t>
      </w:r>
      <w:r>
        <w:rPr>
          <w:color w:val="000000"/>
          <w:lang w:eastAsia="en-US"/>
        </w:rPr>
        <w:t xml:space="preserve">). While two of the </w:t>
      </w:r>
      <w:r>
        <w:rPr>
          <w:i/>
          <w:color w:val="000000"/>
          <w:lang w:eastAsia="en-US"/>
        </w:rPr>
        <w:t>holo-</w:t>
      </w:r>
      <w:r>
        <w:rPr>
          <w:color w:val="000000"/>
          <w:lang w:eastAsia="en-US"/>
        </w:rPr>
        <w:t>Na-FAR-1conformers (</w:t>
      </w:r>
      <w:r>
        <w:rPr>
          <w:color w:val="FF0000"/>
          <w:lang w:eastAsia="en-US"/>
        </w:rPr>
        <w:t>A y B?</w:t>
      </w:r>
      <w:r>
        <w:rPr>
          <w:color w:val="000000"/>
          <w:lang w:eastAsia="en-US"/>
        </w:rPr>
        <w:t>) enclose relative small internal cavities with average volumes of 1130±126Å</w:t>
      </w:r>
      <w:r>
        <w:rPr>
          <w:color w:val="000000"/>
          <w:vertAlign w:val="superscript"/>
          <w:lang w:eastAsia="en-US"/>
        </w:rPr>
        <w:t>3</w:t>
      </w:r>
      <w:r>
        <w:rPr>
          <w:color w:val="000000"/>
          <w:lang w:eastAsia="en-US"/>
        </w:rPr>
        <w:t xml:space="preserve"> and 1211±150Å</w:t>
      </w:r>
      <w:r>
        <w:rPr>
          <w:color w:val="000000"/>
          <w:vertAlign w:val="superscript"/>
          <w:lang w:eastAsia="en-US"/>
        </w:rPr>
        <w:t>3</w:t>
      </w:r>
      <w:r>
        <w:rPr>
          <w:color w:val="000000"/>
          <w:lang w:eastAsia="en-US"/>
        </w:rPr>
        <w:t>, the other conformer (</w:t>
      </w:r>
      <w:r>
        <w:rPr>
          <w:color w:val="FF0000"/>
          <w:lang w:eastAsia="en-US"/>
        </w:rPr>
        <w:t>C?</w:t>
      </w:r>
      <w:r>
        <w:rPr>
          <w:color w:val="000000"/>
          <w:lang w:eastAsia="en-US"/>
        </w:rPr>
        <w:t>) presents a large cavity of 1568±222Å</w:t>
      </w:r>
      <w:r>
        <w:rPr>
          <w:color w:val="000000"/>
          <w:vertAlign w:val="superscript"/>
          <w:lang w:eastAsia="en-US"/>
        </w:rPr>
        <w:t>3</w:t>
      </w:r>
      <w:r>
        <w:rPr>
          <w:color w:val="000000"/>
          <w:lang w:eastAsia="en-US"/>
        </w:rPr>
        <w:t xml:space="preserve">. These results indicate that </w:t>
      </w:r>
      <w:r>
        <w:rPr>
          <w:i/>
          <w:color w:val="000000"/>
          <w:lang w:eastAsia="en-US"/>
        </w:rPr>
        <w:t>holo-</w:t>
      </w:r>
      <w:r>
        <w:rPr>
          <w:color w:val="000000"/>
          <w:lang w:eastAsia="en-US"/>
        </w:rPr>
        <w:t xml:space="preserve">Na-FAR-1 presents a remarkable conformational plasticity that drives a complex internal cavity dynamics. The three identified conformers are in dynamical equilibrium connected by conformational changes involving the two lowest PCA modes. </w:t>
      </w:r>
      <w:r>
        <w:rPr>
          <w:b/>
          <w:color w:val="000000"/>
          <w:lang w:eastAsia="en-US"/>
        </w:rPr>
        <w:t>Figure 4(b)</w:t>
      </w:r>
      <w:r>
        <w:rPr>
          <w:color w:val="000000"/>
          <w:lang w:eastAsia="en-US"/>
        </w:rPr>
        <w:t xml:space="preserve"> shows the evolution in time of the cavity volume displaying the different contributions of each of the three conformers. Reversible interconversions between them can be observed during the MD simulation. </w:t>
      </w:r>
    </w:p>
    <w:p>
      <w:pPr>
        <w:pStyle w:val="Normal"/>
        <w:ind w:left="567" w:firstLine="709"/>
        <w:jc w:val="both"/>
        <w:rPr>
          <w:color w:val="000000"/>
          <w:lang w:eastAsia="en-US"/>
        </w:rPr>
      </w:pPr>
      <w:r>
        <w:rPr>
          <w:color w:val="000000"/>
          <w:lang w:eastAsia="en-US"/>
        </w:rPr>
        <w:t xml:space="preserve">In order to further understand the effect of higher conformational plasticity of </w:t>
      </w:r>
      <w:r>
        <w:rPr>
          <w:i/>
          <w:color w:val="000000"/>
          <w:lang w:eastAsia="en-US"/>
        </w:rPr>
        <w:t>holo-</w:t>
      </w:r>
      <w:r>
        <w:rPr>
          <w:color w:val="000000"/>
          <w:lang w:eastAsia="en-US"/>
        </w:rPr>
        <w:t xml:space="preserve">Na-FAR-1 respect to </w:t>
      </w:r>
      <w:r>
        <w:rPr>
          <w:i/>
          <w:color w:val="000000"/>
          <w:lang w:eastAsia="en-US"/>
        </w:rPr>
        <w:t>apo-</w:t>
      </w:r>
      <w:r>
        <w:rPr>
          <w:color w:val="000000"/>
          <w:lang w:eastAsia="en-US"/>
        </w:rPr>
        <w:t xml:space="preserve">Na-FAR-1 on the ligand binding, the dynamics of the ligand within the cavity has been explored. For this purpose, ligand structural fluctuations have been analyzed using PCA. </w:t>
      </w:r>
      <w:r>
        <w:rPr>
          <w:b/>
          <w:color w:val="000000"/>
          <w:lang w:eastAsia="en-US"/>
        </w:rPr>
        <w:t>Figure 5(a)</w:t>
      </w:r>
      <w:r>
        <w:rPr>
          <w:color w:val="000000"/>
          <w:lang w:eastAsia="en-US"/>
        </w:rPr>
        <w:t xml:space="preserve"> shows the projection of the ligand structures, obtained throughout the MD simulation, onto its 1</w:t>
      </w:r>
      <w:r>
        <w:rPr>
          <w:color w:val="000000"/>
          <w:vertAlign w:val="superscript"/>
          <w:lang w:eastAsia="en-US"/>
        </w:rPr>
        <w:t>st</w:t>
      </w:r>
      <w:r>
        <w:rPr>
          <w:color w:val="000000"/>
          <w:lang w:eastAsia="en-US"/>
        </w:rPr>
        <w:t xml:space="preserve"> and 2</w:t>
      </w:r>
      <w:r>
        <w:rPr>
          <w:color w:val="000000"/>
          <w:vertAlign w:val="superscript"/>
          <w:lang w:eastAsia="en-US"/>
        </w:rPr>
        <w:t>nd</w:t>
      </w:r>
      <w:r>
        <w:rPr>
          <w:color w:val="000000"/>
          <w:lang w:eastAsia="en-US"/>
        </w:rPr>
        <w:t xml:space="preserve"> PCA modes. Two distinctive ligand conformations represented by the structural distortions in both senses of the direction of the 1</w:t>
      </w:r>
      <w:r>
        <w:rPr>
          <w:color w:val="000000"/>
          <w:vertAlign w:val="superscript"/>
          <w:lang w:eastAsia="en-US"/>
        </w:rPr>
        <w:t>st</w:t>
      </w:r>
      <w:r>
        <w:rPr>
          <w:color w:val="000000"/>
          <w:lang w:eastAsia="en-US"/>
        </w:rPr>
        <w:t xml:space="preserve"> PCA mode can be observed. They correspond to the bent and stretched conformations shown in </w:t>
      </w:r>
      <w:r>
        <w:rPr>
          <w:b/>
          <w:color w:val="000000"/>
          <w:lang w:eastAsia="en-US"/>
        </w:rPr>
        <w:t>Figure 5(b)</w:t>
      </w:r>
      <w:r>
        <w:rPr>
          <w:color w:val="000000"/>
          <w:lang w:eastAsia="en-US"/>
        </w:rPr>
        <w:t xml:space="preserve">. As can be seen in </w:t>
      </w:r>
      <w:r>
        <w:rPr>
          <w:b/>
          <w:color w:val="000000"/>
          <w:lang w:eastAsia="en-US"/>
        </w:rPr>
        <w:t>Figure 5(c)</w:t>
      </w:r>
      <w:r>
        <w:rPr>
          <w:color w:val="000000"/>
          <w:lang w:eastAsia="en-US"/>
        </w:rPr>
        <w:t>, the ligand fluctuates between them, being the stretched conformation associated with large cavity volumes while the bent one is observed within smaller cavity volumes(</w:t>
      </w:r>
      <w:r>
        <w:rPr>
          <w:b/>
          <w:color w:val="000000"/>
          <w:lang w:eastAsia="en-US"/>
        </w:rPr>
        <w:t>Figure 5(d)</w:t>
      </w:r>
      <w:r>
        <w:rPr>
          <w:color w:val="000000"/>
          <w:lang w:eastAsia="en-US"/>
        </w:rPr>
        <w:t xml:space="preserve">). That is, far from being fixed within the cavity, the ligand experience large conformational changes associated to changes of cavity volume. </w:t>
      </w:r>
    </w:p>
    <w:p>
      <w:pPr>
        <w:pStyle w:val="Normal"/>
        <w:ind w:left="567" w:firstLine="709"/>
        <w:jc w:val="both"/>
        <w:rPr>
          <w:color w:val="000000"/>
          <w:lang w:eastAsia="en-US"/>
        </w:rPr>
      </w:pPr>
      <w:r>
        <w:rPr>
          <w:color w:val="000000"/>
          <w:lang w:eastAsia="en-US"/>
        </w:rPr>
        <w:t xml:space="preserve">The relationship between the different </w:t>
      </w:r>
      <w:r>
        <w:rPr>
          <w:i/>
          <w:color w:val="000000"/>
          <w:lang w:eastAsia="en-US"/>
        </w:rPr>
        <w:t>holo-</w:t>
      </w:r>
      <w:r>
        <w:rPr>
          <w:color w:val="000000"/>
          <w:lang w:eastAsia="en-US"/>
        </w:rPr>
        <w:t xml:space="preserve">Na-FAR-1 conformers, with their corresponding associated changes in the internal cavity volume, and the different ligand conformations can be analyzed by depicting the distribution of distances between the extremes of the palmitate molecule (see </w:t>
      </w:r>
      <w:r>
        <w:rPr>
          <w:b/>
          <w:color w:val="000000"/>
          <w:lang w:eastAsia="en-US"/>
        </w:rPr>
        <w:t>Figure 6</w:t>
      </w:r>
      <w:r>
        <w:rPr>
          <w:color w:val="000000"/>
          <w:lang w:eastAsia="en-US"/>
        </w:rPr>
        <w:t xml:space="preserve">). We can observe that the stretched palmitate conformation is associated to the </w:t>
      </w:r>
      <w:r>
        <w:rPr>
          <w:i/>
          <w:color w:val="000000"/>
          <w:lang w:eastAsia="en-US"/>
        </w:rPr>
        <w:t>holo-</w:t>
      </w:r>
      <w:r>
        <w:rPr>
          <w:color w:val="000000"/>
          <w:lang w:eastAsia="en-US"/>
        </w:rPr>
        <w:t>Na-FAR-1 conformer (</w:t>
      </w:r>
      <w:r>
        <w:rPr>
          <w:color w:val="FF0000"/>
          <w:lang w:eastAsia="en-US"/>
        </w:rPr>
        <w:t>A?</w:t>
      </w:r>
      <w:r>
        <w:rPr>
          <w:color w:val="000000"/>
          <w:lang w:eastAsia="en-US"/>
        </w:rPr>
        <w:t>)with the largest internal cavity, while the bent conformation is mainly present on the other two conformers (</w:t>
      </w:r>
      <w:r>
        <w:rPr>
          <w:color w:val="FF0000"/>
          <w:lang w:eastAsia="en-US"/>
        </w:rPr>
        <w:t>B y C?</w:t>
      </w:r>
      <w:r>
        <w:rPr>
          <w:color w:val="000000"/>
          <w:lang w:eastAsia="en-US"/>
        </w:rPr>
        <w:t xml:space="preserve">). Since the three </w:t>
      </w:r>
      <w:r>
        <w:rPr>
          <w:i/>
          <w:color w:val="000000"/>
          <w:lang w:eastAsia="en-US"/>
        </w:rPr>
        <w:t>holo-</w:t>
      </w:r>
      <w:r>
        <w:rPr>
          <w:color w:val="000000"/>
          <w:lang w:eastAsia="en-US"/>
        </w:rPr>
        <w:t xml:space="preserve">Na-FAR-1 conformers are in dynamics equilibrium during the MD simulation (see </w:t>
      </w:r>
      <w:r>
        <w:rPr>
          <w:b/>
          <w:color w:val="000000"/>
          <w:lang w:eastAsia="en-US"/>
        </w:rPr>
        <w:t>Figure 4(b)</w:t>
      </w:r>
      <w:r>
        <w:rPr>
          <w:color w:val="000000"/>
          <w:lang w:eastAsia="en-US"/>
        </w:rPr>
        <w:t xml:space="preserve">), the ligand changes its conformation accordingly to the corresponding changes in the cavity sizes associated to each protein conformational change. </w:t>
      </w:r>
    </w:p>
    <w:p>
      <w:pPr>
        <w:pStyle w:val="Normal"/>
        <w:ind w:left="567" w:firstLine="709"/>
        <w:jc w:val="both"/>
        <w:rPr>
          <w:color w:val="000000"/>
          <w:lang w:eastAsia="en-US"/>
        </w:rPr>
      </w:pPr>
      <w:r>
        <w:rPr>
          <w:color w:val="000000"/>
          <w:lang w:eastAsia="en-US"/>
        </w:rPr>
        <w:t xml:space="preserve">Finally, MD simulations have been performed on the orthologue </w:t>
      </w:r>
      <w:r>
        <w:rPr>
          <w:color w:val="000000"/>
        </w:rPr>
        <w:t xml:space="preserve">Ce-FAR-7 in its </w:t>
      </w:r>
      <w:r>
        <w:rPr>
          <w:i/>
          <w:color w:val="000000"/>
        </w:rPr>
        <w:t>apo</w:t>
      </w:r>
      <w:r>
        <w:rPr>
          <w:color w:val="000000"/>
        </w:rPr>
        <w:t>-conformation.</w:t>
      </w:r>
      <w:r>
        <w:rPr>
          <w:color w:val="000000"/>
          <w:lang w:eastAsia="en-US"/>
        </w:rPr>
        <w:t xml:space="preserve"> </w:t>
      </w:r>
      <w:r>
        <w:rPr>
          <w:b/>
          <w:color w:val="000000"/>
          <w:lang w:eastAsia="en-US"/>
        </w:rPr>
        <w:t>Figure 7(a)</w:t>
      </w:r>
      <w:r>
        <w:rPr>
          <w:color w:val="000000"/>
          <w:lang w:eastAsia="en-US"/>
        </w:rPr>
        <w:t xml:space="preserve"> shows the average structure obtained from the corresponding equilibrated MD simulation. The RSMD between average </w:t>
      </w:r>
      <w:r>
        <w:rPr>
          <w:i/>
          <w:color w:val="000000"/>
          <w:lang w:eastAsia="en-US"/>
        </w:rPr>
        <w:t>apo-</w:t>
      </w:r>
      <w:r>
        <w:rPr>
          <w:color w:val="000000"/>
          <w:lang w:eastAsia="en-US"/>
        </w:rPr>
        <w:t xml:space="preserve">Na-FAR-1 and </w:t>
      </w:r>
      <w:r>
        <w:rPr>
          <w:i/>
          <w:color w:val="000000"/>
        </w:rPr>
        <w:t>apo</w:t>
      </w:r>
      <w:r>
        <w:rPr>
          <w:color w:val="000000"/>
        </w:rPr>
        <w:t xml:space="preserve">-Ce-FAR-7 is </w:t>
      </w:r>
      <w:r>
        <w:rPr>
          <w:color w:val="FF0000"/>
        </w:rPr>
        <w:t>XX</w:t>
      </w:r>
      <w:r>
        <w:rPr>
          <w:color w:val="000000"/>
        </w:rPr>
        <w:t xml:space="preserve"> </w:t>
      </w:r>
      <w:r>
        <w:rPr>
          <w:color w:val="000000"/>
          <w:lang w:eastAsia="en-US"/>
        </w:rPr>
        <w:t xml:space="preserve">Å. In agreement with </w:t>
      </w:r>
      <w:r>
        <w:rPr>
          <w:i/>
          <w:color w:val="000000"/>
          <w:lang w:eastAsia="en-US"/>
        </w:rPr>
        <w:t>apo</w:t>
      </w:r>
      <w:r>
        <w:rPr>
          <w:color w:val="000000"/>
          <w:lang w:eastAsia="en-US"/>
        </w:rPr>
        <w:t xml:space="preserve">-Na-FAR-1, </w:t>
      </w:r>
      <w:r>
        <w:rPr>
          <w:b/>
          <w:color w:val="000000"/>
          <w:lang w:eastAsia="en-US"/>
        </w:rPr>
        <w:t>Figure 7(b)</w:t>
      </w:r>
      <w:r>
        <w:rPr>
          <w:color w:val="000000"/>
          <w:lang w:eastAsia="en-US"/>
        </w:rPr>
        <w:t xml:space="preserve"> shows that the distribution of its internal cavity volume can be associated to protein fluctuations around a unique conformation characterized by a free energy landscape with a relatively deep well. </w:t>
      </w:r>
    </w:p>
    <w:p>
      <w:pPr>
        <w:pStyle w:val="ListParagraph"/>
        <w:numPr>
          <w:ilvl w:val="0"/>
          <w:numId w:val="2"/>
        </w:numPr>
        <w:tabs>
          <w:tab w:val="left" w:pos="993" w:leader="none"/>
        </w:tabs>
        <w:spacing w:lineRule="auto" w:line="480" w:before="240" w:after="60"/>
        <w:ind w:left="567" w:hanging="0"/>
        <w:contextualSpacing/>
        <w:rPr>
          <w:i/>
          <w:i/>
          <w:iCs/>
          <w:color w:val="000000"/>
          <w:lang w:val="en-GB"/>
        </w:rPr>
      </w:pPr>
      <w:r>
        <w:rPr>
          <w:i/>
          <w:lang w:eastAsia="en-US"/>
        </w:rPr>
        <w:t>β-barrel FABPs</w:t>
      </w:r>
    </w:p>
    <w:p>
      <w:pPr>
        <w:pStyle w:val="Normal"/>
        <w:tabs>
          <w:tab w:val="left" w:pos="993" w:leader="none"/>
        </w:tabs>
        <w:spacing w:before="0" w:after="60"/>
        <w:ind w:left="567" w:firstLine="709"/>
        <w:jc w:val="both"/>
        <w:rPr/>
      </w:pPr>
      <w:r>
        <w:rPr>
          <w:bCs/>
          <w:color w:val="000000"/>
          <w:lang w:val="en-GB"/>
        </w:rPr>
        <w:t xml:space="preserve">While </w:t>
      </w:r>
      <w:r>
        <w:rPr>
          <w:color w:val="000000"/>
        </w:rPr>
        <w:t>FARs</w:t>
      </w:r>
      <w:r>
        <w:rPr>
          <w:bCs/>
          <w:color w:val="000000"/>
          <w:lang w:val="en-GB"/>
        </w:rPr>
        <w:t xml:space="preserve"> exhibit </w:t>
      </w:r>
      <w:r>
        <w:rPr>
          <w:color w:val="000000"/>
          <w:lang w:eastAsia="en-US"/>
        </w:rPr>
        <w:t xml:space="preserve">α-helix rich folds, </w:t>
      </w:r>
      <w:r>
        <w:rPr>
          <w:bCs/>
          <w:color w:val="000000"/>
          <w:lang w:val="en-GB"/>
        </w:rPr>
        <w:t xml:space="preserve">most </w:t>
      </w:r>
      <w:r>
        <w:rPr>
          <w:color w:val="000000"/>
        </w:rPr>
        <w:t>FABPs</w:t>
      </w:r>
      <w:r>
        <w:rPr>
          <w:bCs/>
          <w:color w:val="000000"/>
          <w:lang w:val="en-GB"/>
        </w:rPr>
        <w:t xml:space="preserve"> presents a typical FABP β-barrel fold. In order to understand how the different folds impact on the protein properties associated to the transport of a variety of ligands with different shapes and sizes, MD simulations have been performed on the rat intestinal fatty-acid-binding protein (I-FABP) in its </w:t>
      </w:r>
      <w:r>
        <w:rPr>
          <w:bCs/>
          <w:i/>
          <w:color w:val="000000"/>
          <w:lang w:val="en-GB"/>
        </w:rPr>
        <w:t>holo</w:t>
      </w:r>
      <w:r>
        <w:rPr>
          <w:bCs/>
          <w:color w:val="000000"/>
          <w:lang w:val="en-GB"/>
        </w:rPr>
        <w:t xml:space="preserve"> and </w:t>
      </w:r>
      <w:r>
        <w:rPr>
          <w:bCs/>
          <w:i/>
          <w:color w:val="000000"/>
          <w:lang w:val="en-GB"/>
        </w:rPr>
        <w:t>apo</w:t>
      </w:r>
      <w:r>
        <w:rPr>
          <w:bCs/>
          <w:color w:val="000000"/>
          <w:lang w:val="en-GB"/>
        </w:rPr>
        <w:t xml:space="preserve"> forms. The ligand-binding conformational change involves a structural distortion with a RMSD=1.00 Å. The average internal ligand-cavity is significant smaller than </w:t>
      </w:r>
      <w:r>
        <w:rPr>
          <w:color w:val="000000"/>
          <w:lang w:eastAsia="en-US"/>
        </w:rPr>
        <w:t>Na-FAR-1, being 605±145 Å</w:t>
      </w:r>
      <w:r>
        <w:rPr>
          <w:color w:val="000000"/>
          <w:vertAlign w:val="superscript"/>
          <w:lang w:eastAsia="en-US"/>
        </w:rPr>
        <w:t>3</w:t>
      </w:r>
      <w:r>
        <w:rPr>
          <w:color w:val="000000"/>
          <w:lang w:eastAsia="en-US"/>
        </w:rPr>
        <w:t xml:space="preserve"> and 926±85 Å</w:t>
      </w:r>
      <w:r>
        <w:rPr>
          <w:color w:val="000000"/>
          <w:vertAlign w:val="superscript"/>
          <w:lang w:eastAsia="en-US"/>
        </w:rPr>
        <w:t>3</w:t>
      </w:r>
      <w:r>
        <w:rPr>
          <w:color w:val="000000"/>
          <w:lang w:eastAsia="en-US"/>
        </w:rPr>
        <w:t xml:space="preserve"> for </w:t>
      </w:r>
      <w:r>
        <w:rPr>
          <w:i/>
          <w:color w:val="000000"/>
          <w:lang w:eastAsia="en-US"/>
        </w:rPr>
        <w:t>apo</w:t>
      </w:r>
      <w:r>
        <w:rPr>
          <w:color w:val="000000"/>
          <w:lang w:eastAsia="en-US"/>
        </w:rPr>
        <w:t>-</w:t>
      </w:r>
      <w:r>
        <w:rPr>
          <w:bCs/>
          <w:color w:val="000000"/>
          <w:lang w:val="en-GB"/>
        </w:rPr>
        <w:t>I-FABP</w:t>
      </w:r>
      <w:r>
        <w:rPr>
          <w:color w:val="000000"/>
          <w:lang w:eastAsia="en-US"/>
        </w:rPr>
        <w:t xml:space="preserve"> and </w:t>
      </w:r>
      <w:r>
        <w:rPr>
          <w:i/>
          <w:color w:val="000000"/>
          <w:lang w:eastAsia="en-US"/>
        </w:rPr>
        <w:t>holo</w:t>
      </w:r>
      <w:r>
        <w:rPr>
          <w:bCs/>
          <w:color w:val="000000"/>
          <w:lang w:val="en-GB"/>
        </w:rPr>
        <w:t xml:space="preserve"> I-FABP</w:t>
      </w:r>
      <w:r>
        <w:rPr>
          <w:color w:val="000000"/>
          <w:lang w:eastAsia="en-US"/>
        </w:rPr>
        <w:t xml:space="preserve"> respectively (see </w:t>
      </w:r>
      <w:r>
        <w:rPr>
          <w:b/>
          <w:color w:val="000000"/>
          <w:lang w:eastAsia="en-US"/>
        </w:rPr>
        <w:t>Figure 8</w:t>
      </w:r>
      <w:r>
        <w:rPr>
          <w:color w:val="000000"/>
          <w:lang w:eastAsia="en-US"/>
        </w:rPr>
        <w:t xml:space="preserve">). We can observe that the distribution of cavity volumes for </w:t>
      </w:r>
      <w:r>
        <w:rPr>
          <w:i/>
          <w:color w:val="000000"/>
          <w:lang w:eastAsia="en-US"/>
        </w:rPr>
        <w:t>apo</w:t>
      </w:r>
      <w:r>
        <w:rPr>
          <w:color w:val="000000"/>
          <w:lang w:eastAsia="en-US"/>
        </w:rPr>
        <w:t>-</w:t>
      </w:r>
      <w:r>
        <w:rPr>
          <w:bCs/>
          <w:color w:val="000000"/>
          <w:lang w:val="en-GB"/>
        </w:rPr>
        <w:t>I-FABP</w:t>
      </w:r>
      <w:r>
        <w:rPr>
          <w:color w:val="000000"/>
          <w:lang w:eastAsia="en-US"/>
        </w:rPr>
        <w:t xml:space="preserve"> can be associated to the contribution of different conformations explored during the MD simulation. On the contrary, ligand-binding funnels </w:t>
      </w:r>
      <w:r>
        <w:rPr>
          <w:i/>
          <w:color w:val="000000"/>
          <w:lang w:eastAsia="en-US"/>
        </w:rPr>
        <w:t>holo</w:t>
      </w:r>
      <w:r>
        <w:rPr>
          <w:color w:val="000000"/>
          <w:lang w:eastAsia="en-US"/>
        </w:rPr>
        <w:t>-</w:t>
      </w:r>
      <w:r>
        <w:rPr>
          <w:bCs/>
          <w:color w:val="000000"/>
          <w:lang w:val="en-GB"/>
        </w:rPr>
        <w:t>I-FABP onto a unique rigid state. These results are in good agreement with previous NMR measurements performed on human L-FABP</w:t>
      </w:r>
      <w:r>
        <w:fldChar w:fldCharType="begin"/>
      </w:r>
      <w:r>
        <w:rPr/>
        <w:instrText>ADDIN CSL_CITATION {"citationItems":[{"id":"ITEM-1","itemData":{"DOI":"10.1016/j.bpj.2012.04.039","author":[{"dropping-particle":"","family":"Chen","given":"Zhongjing","non-dropping-particle":"","parse-names":false,"suffix":""},{"dropping-particle":"","family":"Qiao","given":"Ye","non-dropping-particle":"","parse-names":false,"suffix":""},{"dropping-particle":"","family":"Klimtchuk","given":"Elena","non-dropping-particle":"","parse-names":false,"suffix":""},{"dropping-particle":"","family":"Hamilton","given":"James A","non-dropping-particle":"","parse-names":false,"suffix":""},{"dropping-particle":"","family":"Cai","given":"Jun","non-dropping-particle":"","parse-names":false,"suffix":""},{"dropping-particle":"","family":"Lu","given":"Christian","non-dropping-particle":"","parse-names":false,"suffix":""}],"container-title":"Biophys. J","id":"ITEM-1","issue":"June","issued":{"date-parts":[["2012"]]},"page":"2585-2594","title":"Solution Structure and Backbone Dynamics of Human Liver Fatty Acid Binding Protein : Fatty Acid Binding Revisited","type":"article-journal","volume":"102"},"uris":["http://www.mendeley.com/documents/?uuid=b07b9834-7cc7-403f-9e39-01fa1dce4410"]}],"mendeley":{"formattedCitation":"&lt;sup&gt;37&lt;/sup&gt;","plainTextFormattedCitation":"37","previouslyFormattedCitation":"&lt;sup&gt;37&lt;/sup&gt;"},"properties":{"noteIndex":0},"schema":"https://github.com/citation-style-language/schema/raw/master/csl-citation.json"}</w:instrText>
      </w:r>
      <w:r>
        <w:rPr/>
        <w:fldChar w:fldCharType="separate"/>
      </w:r>
      <w:bookmarkStart w:id="41" w:name="__Fieldmark__1240_1299088308"/>
      <w:r>
        <w:rPr/>
      </w:r>
      <w:r>
        <w:rPr>
          <w:bCs/>
          <w:color w:val="000000"/>
          <w:vertAlign w:val="superscript"/>
          <w:lang w:val="en-GB"/>
        </w:rPr>
        <w:t>37</w:t>
      </w:r>
      <w:r>
        <w:rPr/>
      </w:r>
      <w:r>
        <w:rPr/>
        <w:fldChar w:fldCharType="end"/>
      </w:r>
      <w:bookmarkEnd w:id="41"/>
      <w:r>
        <w:rPr>
          <w:bCs/>
          <w:color w:val="000000"/>
          <w:lang w:val="en-GB"/>
        </w:rPr>
        <w:t xml:space="preserve"> and rat I-FABP</w:t>
      </w:r>
      <w:r>
        <w:fldChar w:fldCharType="begin"/>
      </w:r>
      <w:r>
        <w:rPr/>
        <w:instrText>ADDIN CSL_CITATION {"citationItems":[{"id":"ITEM-1","itemData":{"author":[{"dropping-particle":"","family":"Hodsdon","given":"Michael E","non-dropping-particle":"","parse-names":false,"suffix":""},{"dropping-particle":"","family":"Cistola","given":"David P","non-dropping-particle":"","parse-names":false,"suffix":""}],"container-title":"Biochemistry","id":"ITEM-1","issue":"96","issued":{"date-parts":[["1997"]]},"page":"2278-2290","title":"Ligand Binding Alters the Backbone Mobility of Intestinal Fatty Acid-Binding Protein as Monitored by 15 N NMR Relaxation and 1 H Exchange †","type":"article-journal","volume":"2960"},"uris":["http://www.mendeley.com/documents/?uuid=1f700fae-2489-4890-a34d-3e7d7b3103ce"]}],"mendeley":{"formattedCitation":"&lt;sup&gt;38&lt;/sup&gt;","plainTextFormattedCitation":"38","previouslyFormattedCitation":"&lt;sup&gt;38&lt;/sup&gt;"},"properties":{"noteIndex":0},"schema":"https://github.com/citation-style-language/schema/raw/master/csl-citation.json"}</w:instrText>
      </w:r>
      <w:r>
        <w:rPr/>
        <w:fldChar w:fldCharType="separate"/>
      </w:r>
      <w:bookmarkStart w:id="42" w:name="__Fieldmark__1246_1299088308"/>
      <w:r>
        <w:rPr/>
      </w:r>
      <w:r>
        <w:rPr>
          <w:bCs/>
          <w:color w:val="000000"/>
          <w:vertAlign w:val="superscript"/>
          <w:lang w:val="en-GB"/>
        </w:rPr>
        <w:t>38</w:t>
      </w:r>
      <w:r>
        <w:rPr/>
      </w:r>
      <w:r>
        <w:rPr/>
        <w:fldChar w:fldCharType="end"/>
      </w:r>
      <w:bookmarkEnd w:id="42"/>
      <w:r>
        <w:rPr>
          <w:bCs/>
          <w:color w:val="000000"/>
          <w:lang w:val="en-GB"/>
        </w:rPr>
        <w:t xml:space="preserve"> that describe ligand binding as a transition of the protein structure from a slightly more disordered and flexible </w:t>
      </w:r>
      <w:r>
        <w:rPr>
          <w:bCs/>
          <w:i/>
          <w:color w:val="000000"/>
          <w:lang w:val="en-GB"/>
        </w:rPr>
        <w:t>apo</w:t>
      </w:r>
      <w:r>
        <w:rPr>
          <w:bCs/>
          <w:color w:val="000000"/>
          <w:lang w:val="en-GB"/>
        </w:rPr>
        <w:t xml:space="preserve">-state to a more ordered </w:t>
      </w:r>
      <w:r>
        <w:rPr>
          <w:bCs/>
          <w:i/>
          <w:color w:val="000000"/>
          <w:lang w:val="en-GB"/>
        </w:rPr>
        <w:t>holo</w:t>
      </w:r>
      <w:r>
        <w:rPr>
          <w:bCs/>
          <w:color w:val="000000"/>
          <w:lang w:val="en-GB"/>
        </w:rPr>
        <w:t xml:space="preserve">-state. This increased mobility and discrete disorder in the </w:t>
      </w:r>
      <w:r>
        <w:rPr>
          <w:bCs/>
          <w:i/>
          <w:color w:val="000000"/>
          <w:lang w:val="en-GB"/>
        </w:rPr>
        <w:t>apo</w:t>
      </w:r>
      <w:r>
        <w:rPr>
          <w:bCs/>
          <w:color w:val="000000"/>
          <w:lang w:val="en-GB"/>
        </w:rPr>
        <w:t xml:space="preserve">-state may facilitate the entry of the ligand into the cavity. </w:t>
      </w:r>
    </w:p>
    <w:p>
      <w:pPr>
        <w:pStyle w:val="Normal"/>
        <w:tabs>
          <w:tab w:val="left" w:pos="993" w:leader="none"/>
        </w:tabs>
        <w:spacing w:before="0" w:after="60"/>
        <w:ind w:left="567" w:firstLine="709"/>
        <w:jc w:val="both"/>
        <w:rPr>
          <w:color w:val="000000"/>
          <w:lang w:eastAsia="en-US"/>
        </w:rPr>
      </w:pPr>
      <w:r>
        <w:rPr>
          <w:color w:val="000000"/>
        </w:rPr>
        <w:t xml:space="preserve">PCA allows the identification of the different </w:t>
      </w:r>
      <w:r>
        <w:rPr>
          <w:i/>
          <w:color w:val="000000"/>
          <w:lang w:eastAsia="en-US"/>
        </w:rPr>
        <w:t>apo-</w:t>
      </w:r>
      <w:r>
        <w:rPr>
          <w:bCs/>
          <w:color w:val="000000"/>
          <w:lang w:val="en-GB"/>
        </w:rPr>
        <w:t>I-FABP</w:t>
      </w:r>
      <w:r>
        <w:rPr>
          <w:color w:val="000000"/>
          <w:lang w:eastAsia="en-US"/>
        </w:rPr>
        <w:t xml:space="preserve"> conformers and their corresponding effect on the volume of the internal cavity (see </w:t>
      </w:r>
      <w:r>
        <w:rPr>
          <w:b/>
          <w:color w:val="000000"/>
          <w:lang w:eastAsia="en-US"/>
        </w:rPr>
        <w:t>Figures 9(a)</w:t>
      </w:r>
      <w:r>
        <w:rPr>
          <w:color w:val="000000"/>
          <w:lang w:eastAsia="en-US"/>
        </w:rPr>
        <w:t xml:space="preserve"> and </w:t>
      </w:r>
      <w:r>
        <w:rPr>
          <w:b/>
          <w:color w:val="000000"/>
          <w:lang w:eastAsia="en-US"/>
        </w:rPr>
        <w:t>(b)</w:t>
      </w:r>
      <w:r>
        <w:rPr>
          <w:color w:val="000000"/>
          <w:lang w:eastAsia="en-US"/>
        </w:rPr>
        <w:t>). Four different conformers, associated to different combinations of structural distortions in the directions of the 1</w:t>
      </w:r>
      <w:r>
        <w:rPr>
          <w:color w:val="000000"/>
          <w:vertAlign w:val="superscript"/>
          <w:lang w:eastAsia="en-US"/>
        </w:rPr>
        <w:t>st</w:t>
      </w:r>
      <w:r>
        <w:rPr>
          <w:color w:val="000000"/>
          <w:lang w:eastAsia="en-US"/>
        </w:rPr>
        <w:t xml:space="preserve"> and 2</w:t>
      </w:r>
      <w:r>
        <w:rPr>
          <w:color w:val="000000"/>
          <w:vertAlign w:val="superscript"/>
          <w:lang w:eastAsia="en-US"/>
        </w:rPr>
        <w:t>nd</w:t>
      </w:r>
      <w:r>
        <w:rPr>
          <w:color w:val="000000"/>
          <w:lang w:eastAsia="en-US"/>
        </w:rPr>
        <w:t xml:space="preserve"> PCA modes, have been identified. Two of them (</w:t>
      </w:r>
      <w:r>
        <w:rPr>
          <w:color w:val="FF0000"/>
          <w:lang w:eastAsia="en-US"/>
        </w:rPr>
        <w:t>A and B</w:t>
      </w:r>
      <w:r>
        <w:rPr>
          <w:color w:val="000000"/>
          <w:lang w:eastAsia="en-US"/>
        </w:rPr>
        <w:t>?) are associated to smaller cavity volumes than the other two(</w:t>
      </w:r>
      <w:r>
        <w:rPr>
          <w:color w:val="FF0000"/>
          <w:lang w:eastAsia="en-US"/>
        </w:rPr>
        <w:t>C and D</w:t>
      </w:r>
      <w:r>
        <w:rPr>
          <w:color w:val="000000"/>
          <w:lang w:eastAsia="en-US"/>
        </w:rPr>
        <w:t xml:space="preserve">?). </w:t>
      </w:r>
      <w:r>
        <w:rPr>
          <w:b/>
          <w:color w:val="000000"/>
          <w:lang w:eastAsia="en-US"/>
        </w:rPr>
        <w:t>Figures 9(c)</w:t>
      </w:r>
      <w:r>
        <w:rPr>
          <w:color w:val="000000"/>
          <w:lang w:eastAsia="en-US"/>
        </w:rPr>
        <w:t xml:space="preserve"> shows that </w:t>
      </w:r>
      <w:r>
        <w:rPr>
          <w:i/>
          <w:color w:val="000000"/>
          <w:lang w:eastAsia="en-US"/>
        </w:rPr>
        <w:t>apo</w:t>
      </w:r>
      <w:r>
        <w:rPr>
          <w:color w:val="000000"/>
          <w:lang w:eastAsia="en-US"/>
        </w:rPr>
        <w:t>-</w:t>
      </w:r>
      <w:r>
        <w:rPr>
          <w:bCs/>
          <w:color w:val="000000"/>
          <w:lang w:val="en-GB"/>
        </w:rPr>
        <w:t>I-FABP</w:t>
      </w:r>
      <w:r>
        <w:rPr>
          <w:color w:val="000000"/>
          <w:lang w:eastAsia="en-US"/>
        </w:rPr>
        <w:t xml:space="preserve"> experiences multiple conformational changes throughout the MD simulation, indicating a relatively low energy barrier between its states. </w:t>
      </w:r>
    </w:p>
    <w:p>
      <w:pPr>
        <w:pStyle w:val="Normal"/>
        <w:ind w:left="567" w:firstLine="709"/>
        <w:jc w:val="both"/>
        <w:rPr>
          <w:color w:val="000000"/>
          <w:lang w:eastAsia="en-US"/>
        </w:rPr>
      </w:pPr>
      <w:r>
        <w:rPr>
          <w:color w:val="000000"/>
          <w:lang w:eastAsia="en-US"/>
        </w:rPr>
        <w:t xml:space="preserve">Ligand binding seems to shift the conformational equilibrium of </w:t>
      </w:r>
      <w:r>
        <w:rPr>
          <w:bCs/>
          <w:color w:val="000000"/>
          <w:lang w:val="en-GB"/>
        </w:rPr>
        <w:t>I-FABP</w:t>
      </w:r>
      <w:r>
        <w:rPr>
          <w:color w:val="000000"/>
          <w:lang w:eastAsia="en-US"/>
        </w:rPr>
        <w:t xml:space="preserve"> to a unique conformation with a</w:t>
      </w:r>
      <w:r>
        <w:rPr/>
        <w:t xml:space="preserve"> </w:t>
      </w:r>
      <w:r>
        <w:rPr>
          <w:color w:val="000000"/>
          <w:lang w:eastAsia="en-US"/>
        </w:rPr>
        <w:t xml:space="preserve">sufficiently deep well to ensure that a significant fraction of protein molecules are trapped fluctuating in it.  This feature is also confirmed by performing MD simulation on another </w:t>
      </w:r>
      <w:r>
        <w:rPr>
          <w:i/>
          <w:color w:val="000000"/>
          <w:lang w:eastAsia="en-US"/>
        </w:rPr>
        <w:t>holo</w:t>
      </w:r>
      <w:r>
        <w:rPr>
          <w:color w:val="000000"/>
          <w:lang w:eastAsia="en-US"/>
        </w:rPr>
        <w:t xml:space="preserve">-I-FABP obtained by NMR (see </w:t>
      </w:r>
      <w:r>
        <w:rPr>
          <w:b/>
          <w:color w:val="000000"/>
          <w:lang w:eastAsia="en-US"/>
        </w:rPr>
        <w:t>Figure 10(a)</w:t>
      </w:r>
      <w:r>
        <w:rPr>
          <w:color w:val="000000"/>
          <w:lang w:eastAsia="en-US"/>
        </w:rPr>
        <w:t xml:space="preserve">). The resulted distribution of cavity volumes, shown in </w:t>
      </w:r>
      <w:r>
        <w:rPr>
          <w:b/>
          <w:color w:val="000000"/>
          <w:lang w:eastAsia="en-US"/>
        </w:rPr>
        <w:t>Figure 10(b)</w:t>
      </w:r>
      <w:r>
        <w:rPr>
          <w:color w:val="000000"/>
          <w:lang w:eastAsia="en-US"/>
        </w:rPr>
        <w:t xml:space="preserve">, indicates a Gaussian distribution corresponding to fluctuations around a unique minimum in the protein conformational space. </w:t>
      </w:r>
    </w:p>
    <w:p>
      <w:pPr>
        <w:pStyle w:val="ListParagraph"/>
        <w:numPr>
          <w:ilvl w:val="0"/>
          <w:numId w:val="2"/>
        </w:numPr>
        <w:tabs>
          <w:tab w:val="left" w:pos="993" w:leader="none"/>
        </w:tabs>
        <w:spacing w:lineRule="auto" w:line="480" w:before="240" w:after="60"/>
        <w:ind w:left="567" w:hanging="0"/>
        <w:contextualSpacing/>
        <w:rPr>
          <w:i/>
          <w:i/>
          <w:iCs/>
          <w:color w:val="000000"/>
          <w:lang w:val="en-GB"/>
        </w:rPr>
      </w:pPr>
      <w:r>
        <w:rPr>
          <w:i/>
          <w:lang w:eastAsia="en-US"/>
        </w:rPr>
        <w:t>Relative flexibility of the ligand-cavities</w:t>
      </w:r>
    </w:p>
    <w:p>
      <w:pPr>
        <w:pStyle w:val="Normal"/>
        <w:ind w:left="567" w:firstLine="709"/>
        <w:jc w:val="both"/>
        <w:rPr/>
      </w:pPr>
      <w:r>
        <w:rPr>
          <w:bCs/>
          <w:color w:val="000000"/>
          <w:lang w:val="en-GB"/>
        </w:rPr>
        <w:t xml:space="preserve">The different FARs and FABPs analysed in this study have shown ligand-cavities with different shapes whose dynamics is subject to the corresponding protein plasticity. In order to analyse which LBP fold encompass a more flexible cavity and, therefore, a cavity that can contribute to a larger ligand multiplicity, we calculate the variation of the potential energy of each LBP in the direction of </w:t>
      </w:r>
      <w:r>
        <w:rPr>
          <w:rFonts w:cs="Cambria Math" w:ascii="Cambria Math" w:hAnsi="Cambria Math"/>
          <w:b/>
          <w:bCs/>
          <w:color w:val="000000"/>
          <w:lang w:val="en-GB"/>
        </w:rPr>
        <w:t>∇</w:t>
      </w:r>
      <w:r>
        <w:rPr>
          <w:b/>
          <w:bCs/>
          <w:color w:val="000000"/>
          <w:lang w:val="en-GB"/>
        </w:rPr>
        <w:t>V</w:t>
      </w:r>
      <w:r>
        <w:rPr>
          <w:b/>
          <w:bCs/>
          <w:color w:val="000000"/>
          <w:vertAlign w:val="subscript"/>
          <w:lang w:val="en-GB"/>
        </w:rPr>
        <w:t>o</w:t>
      </w:r>
      <w:r>
        <w:rPr>
          <w:bCs/>
          <w:color w:val="000000"/>
          <w:lang w:val="en-GB"/>
        </w:rPr>
        <w:t xml:space="preserve"> (see </w:t>
      </w:r>
      <w:r>
        <w:rPr>
          <w:b/>
          <w:bCs/>
          <w:color w:val="000000"/>
          <w:lang w:val="en-GB"/>
        </w:rPr>
        <w:t>section II.C</w:t>
      </w:r>
      <w:r>
        <w:rPr>
          <w:bCs/>
          <w:color w:val="000000"/>
          <w:lang w:val="en-GB"/>
        </w:rPr>
        <w:t xml:space="preserve">). Results are shown in </w:t>
      </w:r>
      <w:r>
        <w:rPr>
          <w:b/>
          <w:bCs/>
          <w:color w:val="000000"/>
          <w:lang w:val="en-GB"/>
        </w:rPr>
        <w:t>Figure 10(a)</w:t>
      </w:r>
      <w:r>
        <w:rPr>
          <w:bCs/>
          <w:color w:val="000000"/>
          <w:lang w:val="en-GB"/>
        </w:rPr>
        <w:t xml:space="preserve">. We can observe that the internal cavity of </w:t>
      </w:r>
      <w:r>
        <w:rPr>
          <w:i/>
          <w:color w:val="000000"/>
          <w:lang w:eastAsia="en-US"/>
        </w:rPr>
        <w:t>apo-</w:t>
      </w:r>
      <w:r>
        <w:rPr>
          <w:color w:val="000000"/>
          <w:lang w:eastAsia="en-US"/>
        </w:rPr>
        <w:t xml:space="preserve">Na-FAR-1 results the most flexible one, followed by </w:t>
      </w:r>
      <w:r>
        <w:rPr>
          <w:i/>
          <w:color w:val="000000"/>
          <w:lang w:eastAsia="en-US"/>
        </w:rPr>
        <w:t>holo-</w:t>
      </w:r>
      <w:r>
        <w:rPr>
          <w:color w:val="000000"/>
          <w:lang w:eastAsia="en-US"/>
        </w:rPr>
        <w:t xml:space="preserve">Na-FAR-1 and </w:t>
      </w:r>
      <w:r>
        <w:rPr>
          <w:i/>
          <w:color w:val="000000"/>
          <w:lang w:eastAsia="en-US"/>
        </w:rPr>
        <w:t>apo</w:t>
      </w:r>
      <w:r>
        <w:rPr>
          <w:color w:val="000000"/>
          <w:lang w:eastAsia="en-US"/>
        </w:rPr>
        <w:t>-</w:t>
      </w:r>
      <w:r>
        <w:rPr>
          <w:bCs/>
          <w:color w:val="000000"/>
          <w:lang w:val="en-GB"/>
        </w:rPr>
        <w:t xml:space="preserve">I-FABP. </w:t>
      </w:r>
      <w:r>
        <w:rPr>
          <w:i/>
          <w:color w:val="000000"/>
        </w:rPr>
        <w:t>apo</w:t>
      </w:r>
      <w:r>
        <w:rPr>
          <w:color w:val="000000"/>
        </w:rPr>
        <w:t xml:space="preserve">-Ce-FAR-7 and the two </w:t>
      </w:r>
      <w:r>
        <w:rPr>
          <w:i/>
          <w:color w:val="000000"/>
          <w:lang w:eastAsia="en-US"/>
        </w:rPr>
        <w:t>holo</w:t>
      </w:r>
      <w:r>
        <w:rPr>
          <w:color w:val="000000"/>
          <w:lang w:eastAsia="en-US"/>
        </w:rPr>
        <w:t>-</w:t>
      </w:r>
      <w:r>
        <w:rPr>
          <w:bCs/>
          <w:color w:val="000000"/>
          <w:lang w:val="en-GB"/>
        </w:rPr>
        <w:t>I-FABPs present relatively more rigid cavities.</w:t>
      </w:r>
      <w:r>
        <w:rPr>
          <w:color w:val="000000"/>
          <w:lang w:eastAsia="en-US"/>
        </w:rPr>
        <w:t xml:space="preserve">  While either </w:t>
      </w:r>
      <w:r>
        <w:rPr>
          <w:i/>
          <w:color w:val="000000"/>
          <w:lang w:eastAsia="en-US"/>
        </w:rPr>
        <w:t>holo-</w:t>
      </w:r>
      <w:r>
        <w:rPr>
          <w:color w:val="000000"/>
          <w:lang w:eastAsia="en-US"/>
        </w:rPr>
        <w:t xml:space="preserve">Na-FAR-1 and </w:t>
      </w:r>
      <w:r>
        <w:rPr>
          <w:i/>
          <w:color w:val="000000"/>
          <w:lang w:eastAsia="en-US"/>
        </w:rPr>
        <w:t>apo</w:t>
      </w:r>
      <w:r>
        <w:rPr>
          <w:color w:val="000000"/>
          <w:lang w:eastAsia="en-US"/>
        </w:rPr>
        <w:t>-</w:t>
      </w:r>
      <w:r>
        <w:rPr>
          <w:bCs/>
          <w:color w:val="000000"/>
          <w:lang w:val="en-GB"/>
        </w:rPr>
        <w:t xml:space="preserve">I-FABP encompass cavities with different sizes according to the transient protein conformation, </w:t>
      </w:r>
      <w:r>
        <w:rPr>
          <w:b/>
          <w:bCs/>
          <w:color w:val="000000"/>
          <w:lang w:val="en-GB"/>
        </w:rPr>
        <w:t>Figure 10(b)</w:t>
      </w:r>
      <w:r>
        <w:rPr>
          <w:bCs/>
          <w:color w:val="000000"/>
          <w:lang w:val="en-GB"/>
        </w:rPr>
        <w:t xml:space="preserve"> and </w:t>
      </w:r>
      <w:r>
        <w:rPr>
          <w:b/>
          <w:bCs/>
          <w:color w:val="000000"/>
          <w:lang w:val="en-GB"/>
        </w:rPr>
        <w:t>(c)</w:t>
      </w:r>
      <w:r>
        <w:rPr>
          <w:bCs/>
          <w:color w:val="000000"/>
          <w:lang w:val="en-GB"/>
        </w:rPr>
        <w:t xml:space="preserve"> display</w:t>
      </w:r>
      <w:r>
        <w:rPr>
          <w:color w:val="000000"/>
          <w:lang w:eastAsia="en-US"/>
        </w:rPr>
        <w:t xml:space="preserve"> the analysis of the corresponding individual conformers. We can observe that, in both cases, each conformer result relatively more rigid than the average shown in </w:t>
      </w:r>
      <w:r>
        <w:rPr>
          <w:b/>
          <w:color w:val="000000"/>
          <w:lang w:eastAsia="en-US"/>
        </w:rPr>
        <w:t>Figure 10(a)</w:t>
      </w:r>
      <w:r>
        <w:rPr>
          <w:color w:val="000000"/>
          <w:lang w:eastAsia="en-US"/>
        </w:rPr>
        <w:t xml:space="preserve">, indicating that their individual contributions introduce an additional component to the overall flexibility of the cavity. These results indicate a propensity of Na-FAR-1 to bind not only fatty acids but also a broader range of lipid classes such as phospholipids. This feature is in agreement with previous fluorescence experiments performed on Na-FAR-1 and </w:t>
      </w:r>
      <w:r>
        <w:rPr>
          <w:color w:val="000000"/>
        </w:rPr>
        <w:t>Ce-FAR-7</w:t>
      </w:r>
      <w:r>
        <w:fldChar w:fldCharType="begin"/>
      </w:r>
      <w:r>
        <w:rPr/>
        <w:instrText>ADDIN CSL_CITATION {"citationItems":[{"id":"ITEM-1","itemData":{"DOI":"10.1042/BJ20150068","author":[{"dropping-particle":"","family":"Rey-Burusco","given":"MF;","non-dropping-particle":"","parse-names":false,"suffix":""},{"dropping-particle":"","family":"Ibañez-Shimabukuro","given":"M;","non-dropping-particle":"","parse-names":false,"suffix":""},{"dropping-particle":"","family":"Gabrielsen","given":"M;","non-dropping-particle":"","parse-names":false,"suffix":""},{"dropping-particle":"","family":"Franchini","given":"GR;","non-dropping-particle":"","parse-names":false,"suffix":""},{"dropping-particle":"","family":"Roe","given":"AJ;","non-dropping-particle":"","parse-names":false,"suffix":""},{"dropping-particle":"","family":"Smith","given":"BO;","non-dropping-particle":"","parse-names":false,"suffix":""},{"dropping-particle":"","family":"Griffiths","given":"K;","non-dropping-particle":"","parse-names":false,"suffix":""},{"dropping-particle":"","family":"Zhan","given":"B;","non-dropping-particle":"","parse-names":false,"suffix":""},{"dropping-particle":"","family":"Cooper","given":"A;","non-dropping-particle":"","parse-names":false,"suffix":""},{"dropping-particle":"","family":"Kennedy","given":"MW;","non-dropping-particle":"","parse-names":false,"suffix":""},{"dropping-particle":"","family":"Betina","given":"C","non-dropping-particle":"","parse-names":false,"suffix":""}],"container-title":"Biochem. J.","id":"ITEM-1","issued":{"date-parts":[["2015"]]},"page":"403-414","title":"Diversity in the structures and ligand-binding sites of nematode fatty acid and retinol-binding proteins revealed by Na-FAR-1 from Necator americanus","type":"article-journal","volume":"471"},"uris":["http://www.mendeley.com/documents/?uuid=88476f14-8909-4525-b9d6-0cd303b633bf"]}],"mendeley":{"formattedCitation":"&lt;sup&gt;17&lt;/sup&gt;","plainTextFormattedCitation":"17","previouslyFormattedCitation":"&lt;sup&gt;17&lt;/sup&gt;"},"properties":{"noteIndex":0},"schema":"https://github.com/citation-style-language/schema/raw/master/csl-citation.json"}</w:instrText>
      </w:r>
      <w:r>
        <w:rPr/>
        <w:fldChar w:fldCharType="separate"/>
      </w:r>
      <w:bookmarkStart w:id="43" w:name="__Fieldmark__1401_1299088308"/>
      <w:r>
        <w:rPr/>
      </w:r>
      <w:r>
        <w:rPr>
          <w:color w:val="000000"/>
          <w:vertAlign w:val="superscript"/>
        </w:rPr>
        <w:t>17</w:t>
      </w:r>
      <w:r>
        <w:rPr/>
      </w:r>
      <w:r>
        <w:rPr/>
        <w:fldChar w:fldCharType="end"/>
      </w:r>
      <w:bookmarkEnd w:id="43"/>
      <w:r>
        <w:rPr>
          <w:color w:val="000000"/>
        </w:rPr>
        <w:t xml:space="preserve">. </w:t>
      </w:r>
    </w:p>
    <w:p>
      <w:pPr>
        <w:pStyle w:val="Normal"/>
        <w:ind w:left="567" w:firstLine="709"/>
        <w:jc w:val="both"/>
        <w:rPr>
          <w:color w:val="000000"/>
          <w:lang w:eastAsia="en-US"/>
        </w:rPr>
      </w:pPr>
      <w:r>
        <w:rPr>
          <w:color w:val="000000"/>
          <w:lang w:eastAsia="en-US"/>
        </w:rPr>
      </w:r>
    </w:p>
    <w:p>
      <w:pPr>
        <w:pStyle w:val="Heading2"/>
        <w:rPr/>
      </w:pPr>
      <w:r>
        <w:rPr/>
        <w:t>IV. CONCLUSIONS</w:t>
      </w:r>
    </w:p>
    <w:p>
      <w:pPr>
        <w:pStyle w:val="BodyText2"/>
        <w:ind w:left="567" w:firstLine="709"/>
        <w:jc w:val="both"/>
        <w:rPr>
          <w:b w:val="false"/>
          <w:b w:val="false"/>
          <w:color w:val="000000"/>
          <w:sz w:val="24"/>
          <w:szCs w:val="24"/>
          <w:lang w:val="en-US"/>
        </w:rPr>
      </w:pPr>
      <w:r>
        <w:rPr>
          <w:rFonts w:cs="Arial" w:ascii="Arial" w:hAnsi="Arial"/>
          <w:b w:val="false"/>
          <w:sz w:val="20"/>
          <w:lang w:val="en-US"/>
        </w:rPr>
        <w:tab/>
      </w:r>
      <w:r>
        <w:rPr>
          <w:b w:val="false"/>
          <w:color w:val="000000"/>
          <w:sz w:val="24"/>
          <w:szCs w:val="24"/>
          <w:lang w:val="en-US"/>
        </w:rPr>
        <w:t xml:space="preserve">Protein fluctuations−cavity changes relationships have been explored on different α-helix rich FARs and β-barrel FABPs using long equilibrated MD simulations of either </w:t>
      </w:r>
      <w:r>
        <w:rPr>
          <w:b w:val="false"/>
          <w:i/>
          <w:color w:val="000000"/>
          <w:sz w:val="24"/>
          <w:szCs w:val="24"/>
          <w:lang w:val="en-US"/>
        </w:rPr>
        <w:t>apo</w:t>
      </w:r>
      <w:r>
        <w:rPr>
          <w:b w:val="false"/>
          <w:color w:val="000000"/>
          <w:sz w:val="24"/>
          <w:szCs w:val="24"/>
          <w:lang w:val="en-US"/>
        </w:rPr>
        <w:t xml:space="preserve">- and </w:t>
      </w:r>
      <w:r>
        <w:rPr>
          <w:b w:val="false"/>
          <w:i/>
          <w:color w:val="000000"/>
          <w:sz w:val="24"/>
          <w:szCs w:val="24"/>
          <w:lang w:val="en-US"/>
        </w:rPr>
        <w:t>holo</w:t>
      </w:r>
      <w:r>
        <w:rPr>
          <w:b w:val="false"/>
          <w:color w:val="000000"/>
          <w:sz w:val="24"/>
          <w:szCs w:val="24"/>
          <w:lang w:val="en-US"/>
        </w:rPr>
        <w:t xml:space="preserve">- states. We found a significantly flexible Na-FAR-1 ligand-cavity that can explain the observed larger ligand multiplicity of α-helix FARs respect to β-barrel FABPs.  </w:t>
      </w:r>
    </w:p>
    <w:p>
      <w:pPr>
        <w:pStyle w:val="BodyText2"/>
        <w:ind w:left="567" w:firstLine="709"/>
        <w:jc w:val="both"/>
        <w:rPr>
          <w:b w:val="false"/>
          <w:b w:val="false"/>
          <w:color w:val="000000"/>
          <w:sz w:val="24"/>
          <w:szCs w:val="24"/>
          <w:lang w:val="en-US"/>
        </w:rPr>
      </w:pPr>
      <w:r>
        <w:rPr>
          <w:b w:val="false"/>
          <w:color w:val="000000"/>
          <w:sz w:val="24"/>
          <w:szCs w:val="24"/>
          <w:lang w:val="en-US"/>
        </w:rPr>
        <w:t xml:space="preserve">We have reported to different ligand-binding strategies Particularly, </w:t>
      </w:r>
      <w:r>
        <w:rPr>
          <w:b w:val="false"/>
          <w:i/>
          <w:color w:val="000000"/>
          <w:sz w:val="24"/>
          <w:szCs w:val="24"/>
          <w:lang w:val="en-US"/>
        </w:rPr>
        <w:t>holo</w:t>
      </w:r>
      <w:r>
        <w:rPr>
          <w:b w:val="false"/>
          <w:color w:val="000000"/>
          <w:sz w:val="24"/>
          <w:szCs w:val="24"/>
          <w:lang w:val="en-US"/>
        </w:rPr>
        <w:t xml:space="preserve">-Na-FAR-1 presents a remarkable conformational plasticity that drives a complex internal cavity dynamics involving different states. The size of the cavity is significantly affected by protein conformational changes. Besides, the ligand also changes its conformation accordingly to them. That is, far from being fixed within the cavity, the ligand experience large conformational changes between a bent and stretch conformation according to the size of the cavity dictated by the transient protein conformation. On the contrary, ligand binding on I-FABPs seems to shift the conformational equilibrium to a unique conformation with a sufficiently deep well to ensure that a significant fraction of protein molecules are trapped fluctuating in it. In this way, α-helix FARs and β-barrel FABPs seems to follow two different strategies for ligand-binding. While the formers involve a </w:t>
      </w:r>
      <w:r>
        <w:rPr>
          <w:b w:val="false"/>
          <w:i/>
          <w:color w:val="000000"/>
          <w:sz w:val="24"/>
          <w:szCs w:val="24"/>
          <w:lang w:val="en-US"/>
        </w:rPr>
        <w:t>holo</w:t>
      </w:r>
      <w:r>
        <w:rPr>
          <w:b w:val="false"/>
          <w:color w:val="000000"/>
          <w:sz w:val="24"/>
          <w:szCs w:val="24"/>
          <w:lang w:val="en-US"/>
        </w:rPr>
        <w:t xml:space="preserve">-state with high plasticity experience conformational changes that significant impact on the cavity volume and embedded ligand conformations, the latter experience an inverse ligand-modulated disorder-order transition leading to a </w:t>
      </w:r>
      <w:r>
        <w:rPr>
          <w:b w:val="false"/>
          <w:i/>
          <w:color w:val="000000"/>
          <w:sz w:val="24"/>
          <w:szCs w:val="24"/>
          <w:lang w:val="en-US"/>
        </w:rPr>
        <w:t>holo</w:t>
      </w:r>
      <w:r>
        <w:rPr>
          <w:b w:val="false"/>
          <w:color w:val="000000"/>
          <w:sz w:val="24"/>
          <w:szCs w:val="24"/>
          <w:lang w:val="en-US"/>
        </w:rPr>
        <w:t xml:space="preserve">-state with restricted motional freedom.  </w:t>
      </w:r>
    </w:p>
    <w:p>
      <w:pPr>
        <w:pStyle w:val="Normal"/>
        <w:ind w:left="567" w:firstLine="709"/>
        <w:jc w:val="both"/>
        <w:rPr>
          <w:color w:val="000000"/>
          <w:lang w:eastAsia="en-US"/>
        </w:rPr>
      </w:pPr>
      <w:r>
        <w:rPr>
          <w:color w:val="000000"/>
          <w:lang w:eastAsia="en-US"/>
        </w:rPr>
        <w:t xml:space="preserve">The flexibility of protein cavities can impact on functional aspects like ligand affinities and binding promiscuities. The present work can encourage the development of drugs that rigidize the cavity of </w:t>
      </w:r>
      <w:r>
        <w:rPr>
          <w:color w:val="000000"/>
        </w:rPr>
        <w:t>Na-FAR-1</w:t>
      </w:r>
      <w:r>
        <w:rPr>
          <w:color w:val="000000"/>
          <w:lang w:eastAsia="en-US"/>
        </w:rPr>
        <w:t>, reducing its ligand multiplicity and, therefore, the efficiency to play its biological function like transport and storage of large variety of hydrophobic lipophilic molecules in the parasitic nematode worms.</w:t>
      </w:r>
    </w:p>
    <w:p>
      <w:pPr>
        <w:pStyle w:val="Normal"/>
        <w:rPr>
          <w:b/>
          <w:b/>
          <w:bCs/>
          <w:color w:val="000000"/>
        </w:rPr>
      </w:pPr>
      <w:r>
        <w:rPr>
          <w:b/>
          <w:bCs/>
          <w:color w:val="000000"/>
        </w:rPr>
      </w:r>
    </w:p>
    <w:p>
      <w:pPr>
        <w:pStyle w:val="Normal"/>
        <w:spacing w:lineRule="auto" w:line="276" w:before="0" w:after="200"/>
        <w:rPr>
          <w:b/>
          <w:b/>
          <w:bCs/>
          <w:color w:val="000000"/>
        </w:rPr>
      </w:pPr>
      <w:r>
        <w:rPr>
          <w:b/>
          <w:bCs/>
          <w:color w:val="000000"/>
        </w:rPr>
      </w:r>
      <w:r>
        <w:br w:type="page"/>
      </w:r>
    </w:p>
    <w:p>
      <w:pPr>
        <w:pStyle w:val="Normal"/>
        <w:rPr>
          <w:b/>
          <w:b/>
          <w:bCs/>
          <w:color w:val="000000"/>
        </w:rPr>
      </w:pPr>
      <w:r>
        <w:rPr>
          <w:b/>
          <w:bCs/>
          <w:color w:val="000000"/>
        </w:rPr>
      </w:r>
    </w:p>
    <w:p>
      <w:pPr>
        <w:pStyle w:val="Normal"/>
        <w:ind w:left="567" w:hanging="0"/>
        <w:rPr>
          <w:rFonts w:ascii="Arial" w:hAnsi="Arial" w:cs="Arial"/>
          <w:b/>
          <w:b/>
          <w:bCs/>
          <w:color w:val="000000"/>
          <w:sz w:val="20"/>
          <w:szCs w:val="20"/>
        </w:rPr>
      </w:pPr>
      <w:r>
        <w:rPr>
          <w:rFonts w:cs="Arial" w:ascii="Arial" w:hAnsi="Arial"/>
          <w:b/>
          <w:bCs/>
          <w:color w:val="000000"/>
          <w:sz w:val="20"/>
          <w:szCs w:val="20"/>
        </w:rPr>
        <w:t>Figure Captions</w:t>
      </w:r>
    </w:p>
    <w:p>
      <w:pPr>
        <w:pStyle w:val="Normal"/>
        <w:ind w:left="567" w:hanging="0"/>
        <w:jc w:val="both"/>
        <w:rPr>
          <w:rFonts w:ascii="Arial" w:hAnsi="Arial" w:cs="Arial"/>
          <w:b/>
          <w:b/>
          <w:sz w:val="20"/>
          <w:szCs w:val="20"/>
        </w:rPr>
      </w:pPr>
      <w:r>
        <w:rPr>
          <w:rFonts w:cs="Arial" w:ascii="Arial" w:hAnsi="Arial"/>
          <w:b/>
          <w:sz w:val="20"/>
          <w:szCs w:val="20"/>
        </w:rPr>
      </w:r>
    </w:p>
    <w:p>
      <w:pPr>
        <w:pStyle w:val="Normal"/>
        <w:spacing w:before="120" w:after="120"/>
        <w:ind w:left="567" w:hanging="0"/>
        <w:jc w:val="both"/>
        <w:rPr>
          <w:color w:val="000000"/>
        </w:rPr>
      </w:pPr>
      <w:r>
        <w:rPr>
          <w:b/>
          <w:color w:val="000000"/>
        </w:rPr>
        <w:t>Figure 1.</w:t>
      </w:r>
      <w:r>
        <w:rPr>
          <w:color w:val="000000"/>
        </w:rPr>
        <w:t xml:space="preserve"> Averaged </w:t>
      </w:r>
      <w:r>
        <w:rPr>
          <w:b/>
          <w:color w:val="000000"/>
        </w:rPr>
        <w:t>(a)</w:t>
      </w:r>
      <w:r>
        <w:rPr>
          <w:color w:val="000000"/>
        </w:rPr>
        <w:t xml:space="preserve"> </w:t>
      </w:r>
      <w:r>
        <w:rPr>
          <w:i/>
          <w:color w:val="000000"/>
        </w:rPr>
        <w:t>apo-</w:t>
      </w:r>
      <w:r>
        <w:rPr>
          <w:color w:val="000000"/>
        </w:rPr>
        <w:t xml:space="preserve"> and </w:t>
      </w:r>
      <w:r>
        <w:rPr>
          <w:b/>
          <w:color w:val="000000"/>
        </w:rPr>
        <w:t>(b)</w:t>
      </w:r>
      <w:r>
        <w:rPr>
          <w:color w:val="000000"/>
        </w:rPr>
        <w:t xml:space="preserve"> </w:t>
      </w:r>
      <w:r>
        <w:rPr>
          <w:i/>
          <w:color w:val="000000"/>
        </w:rPr>
        <w:t>holo-</w:t>
      </w:r>
      <w:r>
        <w:rPr>
          <w:color w:val="000000"/>
        </w:rPr>
        <w:t xml:space="preserve">structures for Na-FAR-1 obtained from the corresponding equilibrated MD simulations, indicating the main secondary structure elements (SSE) and the encompass ligand cavity. Distribution of ligand cavity volumes, calculated over the set of structures collected during the equilibrated MD simulations of </w:t>
      </w:r>
      <w:r>
        <w:rPr>
          <w:b/>
          <w:color w:val="000000"/>
        </w:rPr>
        <w:t>(c</w:t>
      </w:r>
      <w:r>
        <w:rPr>
          <w:b/>
          <w:i/>
          <w:color w:val="000000"/>
        </w:rPr>
        <w:t>)</w:t>
      </w:r>
      <w:r>
        <w:rPr>
          <w:i/>
          <w:color w:val="000000"/>
        </w:rPr>
        <w:t xml:space="preserve"> apo</w:t>
      </w:r>
      <w:r>
        <w:rPr>
          <w:color w:val="000000"/>
        </w:rPr>
        <w:t xml:space="preserve">- and </w:t>
      </w:r>
      <w:r>
        <w:rPr>
          <w:b/>
          <w:color w:val="000000"/>
        </w:rPr>
        <w:t>(d)</w:t>
      </w:r>
      <w:r>
        <w:rPr>
          <w:color w:val="000000"/>
        </w:rPr>
        <w:t xml:space="preserve"> </w:t>
      </w:r>
      <w:r>
        <w:rPr>
          <w:i/>
          <w:color w:val="000000"/>
        </w:rPr>
        <w:t>holo</w:t>
      </w:r>
      <w:r>
        <w:rPr>
          <w:color w:val="000000"/>
        </w:rPr>
        <w:t>-Na-FAR-1.</w:t>
      </w:r>
    </w:p>
    <w:p>
      <w:pPr>
        <w:pStyle w:val="Normal"/>
        <w:spacing w:before="120" w:after="120"/>
        <w:ind w:left="567" w:hanging="0"/>
        <w:jc w:val="both"/>
        <w:rPr>
          <w:color w:val="000000"/>
        </w:rPr>
      </w:pPr>
      <w:r>
        <w:rPr>
          <w:b/>
          <w:color w:val="000000"/>
        </w:rPr>
        <w:t>Figure 2.</w:t>
      </w:r>
      <w:r>
        <w:rPr>
          <w:color w:val="000000"/>
        </w:rPr>
        <w:t xml:space="preserve"> 1</w:t>
      </w:r>
      <w:r>
        <w:rPr>
          <w:color w:val="000000"/>
          <w:vertAlign w:val="superscript"/>
        </w:rPr>
        <w:t>st</w:t>
      </w:r>
      <w:r>
        <w:rPr>
          <w:color w:val="000000"/>
        </w:rPr>
        <w:t xml:space="preserve"> (</w:t>
      </w:r>
      <w:r>
        <w:rPr>
          <w:color w:val="FF0000"/>
        </w:rPr>
        <w:t>red?</w:t>
      </w:r>
      <w:r>
        <w:rPr>
          <w:color w:val="000000"/>
        </w:rPr>
        <w:t>) 2</w:t>
      </w:r>
      <w:r>
        <w:rPr>
          <w:color w:val="000000"/>
          <w:vertAlign w:val="superscript"/>
        </w:rPr>
        <w:t>nd</w:t>
      </w:r>
      <w:r>
        <w:rPr>
          <w:color w:val="000000"/>
        </w:rPr>
        <w:t xml:space="preserve"> (</w:t>
      </w:r>
      <w:r>
        <w:rPr>
          <w:color w:val="FF0000"/>
        </w:rPr>
        <w:t>blue?</w:t>
      </w:r>
      <w:r>
        <w:rPr>
          <w:color w:val="000000"/>
        </w:rPr>
        <w:t xml:space="preserve">) PCA modes of </w:t>
      </w:r>
      <w:r>
        <w:rPr>
          <w:b/>
          <w:color w:val="000000"/>
        </w:rPr>
        <w:t>(a)</w:t>
      </w:r>
      <w:r>
        <w:rPr>
          <w:color w:val="000000"/>
        </w:rPr>
        <w:t xml:space="preserve"> </w:t>
      </w:r>
      <w:r>
        <w:rPr>
          <w:i/>
          <w:color w:val="000000"/>
        </w:rPr>
        <w:t>apo-</w:t>
      </w:r>
      <w:r>
        <w:rPr>
          <w:color w:val="000000"/>
        </w:rPr>
        <w:t xml:space="preserve"> and </w:t>
      </w:r>
      <w:r>
        <w:rPr>
          <w:b/>
          <w:color w:val="000000"/>
        </w:rPr>
        <w:t>(b)</w:t>
      </w:r>
      <w:r>
        <w:rPr>
          <w:color w:val="000000"/>
        </w:rPr>
        <w:t xml:space="preserve"> </w:t>
      </w:r>
      <w:r>
        <w:rPr>
          <w:i/>
          <w:color w:val="000000"/>
        </w:rPr>
        <w:t>holo</w:t>
      </w:r>
      <w:r>
        <w:rPr>
          <w:color w:val="000000"/>
        </w:rPr>
        <w:t>-Na-FAR-1.</w:t>
      </w:r>
    </w:p>
    <w:p>
      <w:pPr>
        <w:pStyle w:val="Normal"/>
        <w:spacing w:before="120" w:after="120"/>
        <w:ind w:left="567" w:hanging="0"/>
        <w:jc w:val="both"/>
        <w:rPr>
          <w:color w:val="000000"/>
          <w:lang w:eastAsia="en-US"/>
        </w:rPr>
      </w:pPr>
      <w:r>
        <w:rPr>
          <w:b/>
          <w:color w:val="000000"/>
        </w:rPr>
        <w:t>Figure 3.</w:t>
      </w:r>
      <w:r>
        <w:rPr>
          <w:color w:val="000000"/>
        </w:rPr>
        <w:t xml:space="preserve"> Projection of the</w:t>
      </w:r>
      <w:r>
        <w:rPr>
          <w:color w:val="000000"/>
          <w:lang w:eastAsia="en-US"/>
        </w:rPr>
        <w:t xml:space="preserve"> set of MD snapshots of </w:t>
      </w:r>
      <w:r>
        <w:rPr>
          <w:b/>
          <w:color w:val="000000"/>
          <w:lang w:eastAsia="en-US"/>
        </w:rPr>
        <w:t>(a)</w:t>
      </w:r>
      <w:r>
        <w:rPr>
          <w:color w:val="000000"/>
          <w:lang w:eastAsia="en-US"/>
        </w:rPr>
        <w:t xml:space="preserve"> </w:t>
      </w:r>
      <w:r>
        <w:rPr>
          <w:i/>
          <w:color w:val="000000"/>
          <w:lang w:eastAsia="en-US"/>
        </w:rPr>
        <w:t>apo-</w:t>
      </w:r>
      <w:r>
        <w:rPr>
          <w:color w:val="000000"/>
          <w:lang w:eastAsia="en-US"/>
        </w:rPr>
        <w:t xml:space="preserve"> and </w:t>
      </w:r>
      <w:r>
        <w:rPr>
          <w:b/>
          <w:color w:val="000000"/>
          <w:lang w:eastAsia="en-US"/>
        </w:rPr>
        <w:t>(b)</w:t>
      </w:r>
      <w:r>
        <w:rPr>
          <w:color w:val="000000"/>
          <w:lang w:eastAsia="en-US"/>
        </w:rPr>
        <w:t xml:space="preserve"> </w:t>
      </w:r>
      <w:r>
        <w:rPr>
          <w:i/>
          <w:color w:val="000000"/>
          <w:lang w:eastAsia="en-US"/>
        </w:rPr>
        <w:t>holo-</w:t>
      </w:r>
      <w:r>
        <w:rPr>
          <w:color w:val="000000"/>
          <w:lang w:eastAsia="en-US"/>
        </w:rPr>
        <w:t>Na-FAR-1 onto their corresponding 1</w:t>
      </w:r>
      <w:r>
        <w:rPr>
          <w:color w:val="000000"/>
          <w:vertAlign w:val="superscript"/>
          <w:lang w:eastAsia="en-US"/>
        </w:rPr>
        <w:t>st</w:t>
      </w:r>
      <w:r>
        <w:rPr>
          <w:color w:val="000000"/>
          <w:lang w:eastAsia="en-US"/>
        </w:rPr>
        <w:t xml:space="preserve"> and 2</w:t>
      </w:r>
      <w:r>
        <w:rPr>
          <w:color w:val="000000"/>
          <w:vertAlign w:val="superscript"/>
          <w:lang w:eastAsia="en-US"/>
        </w:rPr>
        <w:t>nd</w:t>
      </w:r>
      <w:r>
        <w:rPr>
          <w:color w:val="000000"/>
          <w:lang w:eastAsia="en-US"/>
        </w:rPr>
        <w:t xml:space="preserve"> PCA modes.</w:t>
      </w:r>
    </w:p>
    <w:p>
      <w:pPr>
        <w:pStyle w:val="Normal"/>
        <w:spacing w:before="120" w:after="120"/>
        <w:ind w:left="567" w:hanging="0"/>
        <w:jc w:val="both"/>
        <w:rPr>
          <w:color w:val="000000"/>
          <w:lang w:eastAsia="en-US"/>
        </w:rPr>
      </w:pPr>
      <w:r>
        <w:rPr>
          <w:b/>
          <w:color w:val="000000"/>
        </w:rPr>
        <w:t>Figure 4.</w:t>
      </w:r>
      <w:r>
        <w:rPr>
          <w:color w:val="000000"/>
        </w:rPr>
        <w:t xml:space="preserve"> </w:t>
      </w:r>
      <w:r>
        <w:rPr>
          <w:b/>
          <w:color w:val="000000"/>
        </w:rPr>
        <w:t>(a)</w:t>
      </w:r>
      <w:r>
        <w:rPr>
          <w:color w:val="000000"/>
        </w:rPr>
        <w:t xml:space="preserve"> Distribution of cavity volumes for each of the conformers (A, B and C) of </w:t>
      </w:r>
      <w:r>
        <w:rPr>
          <w:i/>
          <w:color w:val="000000"/>
        </w:rPr>
        <w:t>holo</w:t>
      </w:r>
      <w:r>
        <w:rPr>
          <w:color w:val="000000"/>
        </w:rPr>
        <w:t xml:space="preserve">-Na-FAR-1 during the MD simulation; </w:t>
      </w:r>
      <w:r>
        <w:rPr>
          <w:b/>
          <w:color w:val="000000"/>
        </w:rPr>
        <w:t>(b)</w:t>
      </w:r>
      <w:r>
        <w:rPr>
          <w:color w:val="000000"/>
        </w:rPr>
        <w:t xml:space="preserve"> E</w:t>
      </w:r>
      <w:r>
        <w:rPr>
          <w:color w:val="000000"/>
          <w:lang w:eastAsia="en-US"/>
        </w:rPr>
        <w:t>volution in time of the cavity volume displaying the different contributions of each of the three A, B and C conformers.</w:t>
      </w:r>
    </w:p>
    <w:p>
      <w:pPr>
        <w:pStyle w:val="Normal"/>
        <w:spacing w:before="120" w:after="120"/>
        <w:ind w:left="567" w:hanging="0"/>
        <w:jc w:val="both"/>
        <w:rPr/>
      </w:pPr>
      <w:r>
        <w:rPr>
          <w:b/>
          <w:color w:val="000000"/>
        </w:rPr>
        <w:t>Figure 5.</w:t>
      </w:r>
      <w:r>
        <w:rPr>
          <w:color w:val="000000"/>
        </w:rPr>
        <w:t xml:space="preserve"> </w:t>
      </w:r>
      <w:r>
        <w:rPr>
          <w:b/>
          <w:color w:val="000000"/>
        </w:rPr>
        <w:t>(a)</w:t>
      </w:r>
      <w:r>
        <w:rPr>
          <w:color w:val="000000"/>
        </w:rPr>
        <w:t xml:space="preserve"> Projection of the palmitate structures, obtained from the</w:t>
      </w:r>
      <w:r>
        <w:rPr>
          <w:color w:val="000000"/>
          <w:lang w:eastAsia="en-US"/>
        </w:rPr>
        <w:t xml:space="preserve"> set of MD snapshots of </w:t>
      </w:r>
      <w:r>
        <w:rPr>
          <w:i/>
          <w:color w:val="000000"/>
          <w:lang w:eastAsia="en-US"/>
        </w:rPr>
        <w:t>holo-</w:t>
      </w:r>
      <w:r>
        <w:rPr>
          <w:color w:val="000000"/>
          <w:lang w:eastAsia="en-US"/>
        </w:rPr>
        <w:t>Na-FAR-1, onto its 1</w:t>
      </w:r>
      <w:r>
        <w:rPr>
          <w:color w:val="000000"/>
          <w:vertAlign w:val="superscript"/>
          <w:lang w:eastAsia="en-US"/>
        </w:rPr>
        <w:t>st</w:t>
      </w:r>
      <w:r>
        <w:rPr>
          <w:color w:val="000000"/>
          <w:lang w:eastAsia="en-US"/>
        </w:rPr>
        <w:t xml:space="preserve"> and 2</w:t>
      </w:r>
      <w:r>
        <w:rPr>
          <w:color w:val="000000"/>
          <w:vertAlign w:val="superscript"/>
          <w:lang w:eastAsia="en-US"/>
        </w:rPr>
        <w:t>nd</w:t>
      </w:r>
      <w:r>
        <w:rPr>
          <w:color w:val="000000"/>
          <w:lang w:eastAsia="en-US"/>
        </w:rPr>
        <w:t xml:space="preserve"> PCA modes; </w:t>
      </w:r>
      <w:r>
        <w:rPr>
          <w:b/>
          <w:color w:val="000000"/>
          <w:lang w:eastAsia="en-US"/>
        </w:rPr>
        <w:t>(</w:t>
      </w:r>
      <w:r>
        <w:rPr>
          <w:b/>
          <w:color w:val="000000"/>
          <w:lang w:eastAsia="en-US"/>
        </w:rPr>
        <w:t>b</w:t>
      </w:r>
      <w:r>
        <w:rPr>
          <w:b/>
          <w:color w:val="000000"/>
          <w:lang w:eastAsia="en-US"/>
        </w:rPr>
        <w:t>)</w:t>
      </w:r>
      <w:r>
        <w:rPr>
          <w:color w:val="000000"/>
          <w:lang w:eastAsia="en-US"/>
        </w:rPr>
        <w:t xml:space="preserve"> </w:t>
      </w:r>
      <w:r>
        <w:rPr>
          <w:color w:val="000000"/>
        </w:rPr>
        <w:t xml:space="preserve">Distribution of cavity volumes according to the conformation of the ligand encompassed in it; </w:t>
      </w:r>
      <w:r>
        <w:rPr>
          <w:b/>
          <w:color w:val="000000"/>
        </w:rPr>
        <w:t>(</w:t>
      </w:r>
      <w:r>
        <w:rPr>
          <w:b/>
          <w:color w:val="000000"/>
        </w:rPr>
        <w:t>c</w:t>
      </w:r>
      <w:r>
        <w:rPr>
          <w:b/>
          <w:color w:val="000000"/>
        </w:rPr>
        <w:t>)</w:t>
      </w:r>
      <w:r>
        <w:rPr>
          <w:color w:val="000000"/>
        </w:rPr>
        <w:t xml:space="preserve"> E</w:t>
      </w:r>
      <w:r>
        <w:rPr>
          <w:color w:val="000000"/>
          <w:lang w:eastAsia="en-US"/>
        </w:rPr>
        <w:t>volution in time of the cavity volume displaying the different conformations adopted by the ligand.</w:t>
      </w:r>
    </w:p>
    <w:p>
      <w:pPr>
        <w:pStyle w:val="Normal"/>
        <w:spacing w:before="120" w:after="120"/>
        <w:ind w:left="567" w:hanging="0"/>
        <w:jc w:val="both"/>
        <w:rPr>
          <w:color w:val="000000"/>
        </w:rPr>
      </w:pPr>
      <w:r>
        <w:rPr>
          <w:b/>
          <w:color w:val="000000"/>
        </w:rPr>
        <w:t>Figure 6.</w:t>
      </w:r>
      <w:r>
        <w:rPr>
          <w:color w:val="000000"/>
        </w:rPr>
        <w:t xml:space="preserve"> D</w:t>
      </w:r>
      <w:r>
        <w:rPr>
          <w:color w:val="000000"/>
          <w:lang w:eastAsia="en-US"/>
        </w:rPr>
        <w:t xml:space="preserve">istribution of distances between the extremes of the palmitate molecule </w:t>
      </w:r>
      <w:r>
        <w:rPr>
          <w:color w:val="000000"/>
        </w:rPr>
        <w:t xml:space="preserve">for each of the conformers (A, B and C) of </w:t>
      </w:r>
      <w:r>
        <w:rPr>
          <w:i/>
          <w:color w:val="000000"/>
        </w:rPr>
        <w:t>holo</w:t>
      </w:r>
      <w:r>
        <w:rPr>
          <w:color w:val="000000"/>
        </w:rPr>
        <w:t>-Na-FAR-1 during the MD simulation.</w:t>
      </w:r>
    </w:p>
    <w:p>
      <w:pPr>
        <w:pStyle w:val="Normal"/>
        <w:spacing w:before="120" w:after="120"/>
        <w:ind w:left="567" w:hanging="0"/>
        <w:jc w:val="both"/>
        <w:rPr>
          <w:color w:val="000000"/>
        </w:rPr>
      </w:pPr>
      <w:r>
        <w:rPr>
          <w:b/>
          <w:color w:val="000000"/>
        </w:rPr>
        <w:t>Figure 7.</w:t>
      </w:r>
      <w:r>
        <w:rPr>
          <w:color w:val="000000"/>
        </w:rPr>
        <w:t xml:space="preserve"> </w:t>
      </w:r>
      <w:r>
        <w:rPr>
          <w:b/>
          <w:color w:val="000000"/>
        </w:rPr>
        <w:t>(a)</w:t>
      </w:r>
      <w:r>
        <w:rPr>
          <w:color w:val="000000"/>
        </w:rPr>
        <w:t xml:space="preserve"> Averaged structure of </w:t>
      </w:r>
      <w:r>
        <w:rPr>
          <w:i/>
          <w:color w:val="000000"/>
        </w:rPr>
        <w:t>apo</w:t>
      </w:r>
      <w:r>
        <w:rPr>
          <w:color w:val="000000"/>
        </w:rPr>
        <w:t xml:space="preserve">-Ce-FAR-7 obtained from the equilibrated MD simulation; </w:t>
      </w:r>
      <w:r>
        <w:rPr>
          <w:b/>
          <w:color w:val="000000"/>
        </w:rPr>
        <w:t>(b)</w:t>
      </w:r>
      <w:r>
        <w:rPr>
          <w:color w:val="000000"/>
        </w:rPr>
        <w:t xml:space="preserve"> Distribution of </w:t>
      </w:r>
      <w:r>
        <w:rPr>
          <w:color w:val="000000"/>
          <w:lang w:eastAsia="en-US"/>
        </w:rPr>
        <w:t>of its internal cavity volume</w:t>
      </w:r>
      <w:r>
        <w:rPr>
          <w:color w:val="000000"/>
        </w:rPr>
        <w:t>, calculated over the set of collected MD structures.</w:t>
      </w:r>
    </w:p>
    <w:p>
      <w:pPr>
        <w:pStyle w:val="Normal"/>
        <w:spacing w:before="120" w:after="120"/>
        <w:ind w:left="567" w:hanging="0"/>
        <w:jc w:val="both"/>
        <w:rPr>
          <w:color w:val="000000"/>
        </w:rPr>
      </w:pPr>
      <w:r>
        <w:rPr>
          <w:b/>
          <w:color w:val="000000"/>
        </w:rPr>
        <w:t>Figure 8.</w:t>
      </w:r>
      <w:r>
        <w:rPr>
          <w:color w:val="000000"/>
        </w:rPr>
        <w:t xml:space="preserve"> Averaged </w:t>
      </w:r>
      <w:r>
        <w:rPr>
          <w:b/>
          <w:color w:val="000000"/>
        </w:rPr>
        <w:t>(a)</w:t>
      </w:r>
      <w:r>
        <w:rPr>
          <w:color w:val="000000"/>
        </w:rPr>
        <w:t xml:space="preserve"> </w:t>
      </w:r>
      <w:r>
        <w:rPr>
          <w:i/>
          <w:color w:val="000000"/>
        </w:rPr>
        <w:t>apo-</w:t>
      </w:r>
      <w:r>
        <w:rPr>
          <w:color w:val="000000"/>
        </w:rPr>
        <w:t xml:space="preserve"> and </w:t>
      </w:r>
      <w:r>
        <w:rPr>
          <w:b/>
          <w:color w:val="000000"/>
        </w:rPr>
        <w:t>(b)</w:t>
      </w:r>
      <w:r>
        <w:rPr>
          <w:color w:val="000000"/>
        </w:rPr>
        <w:t xml:space="preserve"> </w:t>
      </w:r>
      <w:r>
        <w:rPr>
          <w:i/>
          <w:color w:val="000000"/>
        </w:rPr>
        <w:t>holo-</w:t>
      </w:r>
      <w:r>
        <w:rPr>
          <w:color w:val="000000"/>
        </w:rPr>
        <w:t xml:space="preserve">structures for </w:t>
      </w:r>
      <w:r>
        <w:rPr>
          <w:bCs/>
          <w:color w:val="000000"/>
          <w:lang w:val="en-GB"/>
        </w:rPr>
        <w:t>I-FABP</w:t>
      </w:r>
      <w:r>
        <w:rPr>
          <w:color w:val="000000"/>
          <w:lang w:eastAsia="en-US"/>
        </w:rPr>
        <w:t xml:space="preserve"> </w:t>
      </w:r>
      <w:r>
        <w:rPr>
          <w:color w:val="000000"/>
        </w:rPr>
        <w:t xml:space="preserve">obtained from the corresponding equilibrated MD simulations, indicating the main secondary structure elements (SSE) and the encompass ligand cavity. Distribution of ligand cavity volumes, calculated over the set of structures collected during the equilibrated MD simulations of </w:t>
      </w:r>
      <w:r>
        <w:rPr>
          <w:b/>
          <w:color w:val="000000"/>
        </w:rPr>
        <w:t>(c</w:t>
      </w:r>
      <w:r>
        <w:rPr>
          <w:b/>
          <w:i/>
          <w:color w:val="000000"/>
        </w:rPr>
        <w:t>)</w:t>
      </w:r>
      <w:r>
        <w:rPr>
          <w:i/>
          <w:color w:val="000000"/>
        </w:rPr>
        <w:t xml:space="preserve"> apo</w:t>
      </w:r>
      <w:r>
        <w:rPr>
          <w:color w:val="000000"/>
        </w:rPr>
        <w:t xml:space="preserve">- and </w:t>
      </w:r>
      <w:r>
        <w:rPr>
          <w:b/>
          <w:color w:val="000000"/>
        </w:rPr>
        <w:t>(d)</w:t>
      </w:r>
      <w:r>
        <w:rPr>
          <w:color w:val="000000"/>
        </w:rPr>
        <w:t xml:space="preserve"> </w:t>
      </w:r>
      <w:r>
        <w:rPr>
          <w:i/>
          <w:color w:val="000000"/>
        </w:rPr>
        <w:t>holo</w:t>
      </w:r>
      <w:r>
        <w:rPr>
          <w:color w:val="000000"/>
        </w:rPr>
        <w:t>-</w:t>
      </w:r>
      <w:r>
        <w:rPr>
          <w:bCs/>
          <w:color w:val="000000"/>
          <w:lang w:val="en-GB"/>
        </w:rPr>
        <w:t xml:space="preserve"> I-FABP</w:t>
      </w:r>
      <w:r>
        <w:rPr>
          <w:color w:val="000000"/>
        </w:rPr>
        <w:t>.</w:t>
      </w:r>
    </w:p>
    <w:p>
      <w:pPr>
        <w:pStyle w:val="Normal"/>
        <w:spacing w:before="120" w:after="120"/>
        <w:ind w:left="567" w:hanging="0"/>
        <w:jc w:val="both"/>
        <w:rPr>
          <w:color w:val="000000"/>
          <w:lang w:eastAsia="en-US"/>
        </w:rPr>
      </w:pPr>
      <w:r>
        <w:rPr>
          <w:b/>
          <w:color w:val="000000"/>
        </w:rPr>
        <w:t>Figure 9.</w:t>
      </w:r>
      <w:r>
        <w:rPr>
          <w:color w:val="000000"/>
        </w:rPr>
        <w:t xml:space="preserve"> </w:t>
      </w:r>
      <w:r>
        <w:rPr>
          <w:b/>
          <w:color w:val="000000"/>
        </w:rPr>
        <w:t>(a)</w:t>
      </w:r>
      <w:r>
        <w:rPr>
          <w:color w:val="000000"/>
        </w:rPr>
        <w:t xml:space="preserve"> Projection of the</w:t>
      </w:r>
      <w:r>
        <w:rPr>
          <w:color w:val="000000"/>
          <w:lang w:eastAsia="en-US"/>
        </w:rPr>
        <w:t xml:space="preserve"> set of MD snapshots of </w:t>
      </w:r>
      <w:r>
        <w:rPr>
          <w:i/>
          <w:color w:val="000000"/>
          <w:lang w:eastAsia="en-US"/>
        </w:rPr>
        <w:t>apo-</w:t>
      </w:r>
      <w:r>
        <w:rPr>
          <w:bCs/>
          <w:color w:val="000000"/>
          <w:lang w:val="en-GB"/>
        </w:rPr>
        <w:t>I-FABP</w:t>
      </w:r>
      <w:r>
        <w:rPr>
          <w:color w:val="000000"/>
          <w:lang w:eastAsia="en-US"/>
        </w:rPr>
        <w:t xml:space="preserve"> onto its 1</w:t>
      </w:r>
      <w:r>
        <w:rPr>
          <w:color w:val="000000"/>
          <w:vertAlign w:val="superscript"/>
          <w:lang w:eastAsia="en-US"/>
        </w:rPr>
        <w:t>st</w:t>
      </w:r>
      <w:r>
        <w:rPr>
          <w:color w:val="000000"/>
          <w:lang w:eastAsia="en-US"/>
        </w:rPr>
        <w:t xml:space="preserve"> and 2</w:t>
      </w:r>
      <w:r>
        <w:rPr>
          <w:color w:val="000000"/>
          <w:vertAlign w:val="superscript"/>
          <w:lang w:eastAsia="en-US"/>
        </w:rPr>
        <w:t>nd</w:t>
      </w:r>
      <w:r>
        <w:rPr>
          <w:color w:val="000000"/>
          <w:lang w:eastAsia="en-US"/>
        </w:rPr>
        <w:t xml:space="preserve"> PCA modes; </w:t>
      </w:r>
      <w:r>
        <w:rPr>
          <w:b/>
          <w:color w:val="000000"/>
          <w:lang w:eastAsia="en-US"/>
        </w:rPr>
        <w:t>(b)</w:t>
      </w:r>
      <w:r>
        <w:rPr>
          <w:color w:val="000000"/>
        </w:rPr>
        <w:t xml:space="preserve"> Distribution of cavity volumes for each of the </w:t>
      </w:r>
      <w:r>
        <w:rPr>
          <w:i/>
          <w:color w:val="000000"/>
          <w:lang w:eastAsia="en-US"/>
        </w:rPr>
        <w:t>apo-</w:t>
      </w:r>
      <w:r>
        <w:rPr>
          <w:bCs/>
          <w:color w:val="000000"/>
          <w:lang w:val="en-GB"/>
        </w:rPr>
        <w:t>I-FABP</w:t>
      </w:r>
      <w:r>
        <w:rPr>
          <w:color w:val="000000"/>
          <w:lang w:eastAsia="en-US"/>
        </w:rPr>
        <w:t xml:space="preserve"> </w:t>
      </w:r>
      <w:r>
        <w:rPr>
          <w:color w:val="000000"/>
        </w:rPr>
        <w:t xml:space="preserve">conformers (A, B, C and D) during the MD simulation; </w:t>
      </w:r>
      <w:r>
        <w:rPr>
          <w:b/>
          <w:color w:val="000000"/>
        </w:rPr>
        <w:t>(c)</w:t>
      </w:r>
      <w:r>
        <w:rPr>
          <w:color w:val="000000"/>
        </w:rPr>
        <w:t xml:space="preserve"> E</w:t>
      </w:r>
      <w:r>
        <w:rPr>
          <w:color w:val="000000"/>
          <w:lang w:eastAsia="en-US"/>
        </w:rPr>
        <w:t>volution in time of the cavity volume displaying the different contributions of each of the four conformers A, B, C and D conformers.</w:t>
      </w:r>
    </w:p>
    <w:p>
      <w:pPr>
        <w:pStyle w:val="Normal"/>
        <w:spacing w:before="120" w:after="120"/>
        <w:ind w:left="567" w:hanging="0"/>
        <w:jc w:val="both"/>
        <w:rPr>
          <w:color w:val="000000"/>
          <w:lang w:eastAsia="en-US"/>
        </w:rPr>
      </w:pPr>
      <w:r>
        <w:rPr>
          <w:b/>
          <w:color w:val="000000"/>
        </w:rPr>
        <w:t>Figure 10.</w:t>
      </w:r>
      <w:r>
        <w:rPr>
          <w:color w:val="000000"/>
        </w:rPr>
        <w:t xml:space="preserve"> </w:t>
      </w:r>
      <w:r>
        <w:rPr>
          <w:b/>
          <w:color w:val="000000"/>
        </w:rPr>
        <w:t>(a)</w:t>
      </w:r>
      <w:r>
        <w:rPr>
          <w:color w:val="000000"/>
        </w:rPr>
        <w:t xml:space="preserve"> Potential energy change in the direction of </w:t>
      </w:r>
      <w:r>
        <w:rPr>
          <w:rFonts w:cs="Cambria Math" w:ascii="Cambria Math" w:hAnsi="Cambria Math"/>
          <w:b/>
          <w:color w:val="000000"/>
        </w:rPr>
        <w:t>∇</w:t>
      </w:r>
      <w:r>
        <w:rPr>
          <w:b/>
          <w:color w:val="000000"/>
        </w:rPr>
        <w:t>V</w:t>
      </w:r>
      <w:r>
        <w:rPr>
          <w:color w:val="000000"/>
          <w:vertAlign w:val="subscript"/>
        </w:rPr>
        <w:t>ol</w:t>
      </w:r>
      <w:r>
        <w:rPr>
          <w:color w:val="000000"/>
        </w:rPr>
        <w:t xml:space="preserve"> for each </w:t>
      </w:r>
      <w:r>
        <w:rPr>
          <w:b/>
          <w:color w:val="000000"/>
        </w:rPr>
        <w:t>(a)</w:t>
      </w:r>
      <w:r>
        <w:rPr>
          <w:color w:val="000000"/>
        </w:rPr>
        <w:t xml:space="preserve"> protein structure, </w:t>
      </w:r>
      <w:r>
        <w:rPr>
          <w:b/>
          <w:color w:val="000000"/>
        </w:rPr>
        <w:t>(b)</w:t>
      </w:r>
      <w:r>
        <w:rPr>
          <w:color w:val="000000"/>
        </w:rPr>
        <w:t xml:space="preserve"> </w:t>
      </w:r>
      <w:r>
        <w:rPr>
          <w:i/>
          <w:color w:val="000000"/>
          <w:lang w:eastAsia="en-US"/>
        </w:rPr>
        <w:t>holo-</w:t>
      </w:r>
      <w:r>
        <w:rPr>
          <w:color w:val="000000"/>
          <w:lang w:eastAsia="en-US"/>
        </w:rPr>
        <w:t xml:space="preserve">Na-FAR-1 conformer, (c) </w:t>
      </w:r>
      <w:r>
        <w:rPr>
          <w:i/>
          <w:color w:val="000000"/>
          <w:lang w:eastAsia="en-US"/>
        </w:rPr>
        <w:t>apo</w:t>
      </w:r>
      <w:r>
        <w:rPr>
          <w:color w:val="000000"/>
          <w:lang w:eastAsia="en-US"/>
        </w:rPr>
        <w:t>-</w:t>
      </w:r>
      <w:r>
        <w:rPr>
          <w:bCs/>
          <w:color w:val="000000"/>
          <w:lang w:val="en-GB"/>
        </w:rPr>
        <w:t>I-FABP conformer</w:t>
      </w:r>
      <w:r>
        <w:rPr>
          <w:color w:val="000000"/>
          <w:lang w:eastAsia="en-US"/>
        </w:rPr>
        <w:t>.</w:t>
      </w:r>
    </w:p>
    <w:p>
      <w:pPr>
        <w:pStyle w:val="Normal"/>
        <w:spacing w:lineRule="auto" w:line="276" w:before="0" w:after="200"/>
        <w:rPr>
          <w:b/>
          <w:b/>
          <w:color w:val="000000"/>
        </w:rPr>
      </w:pPr>
      <w:r>
        <w:rPr>
          <w:b/>
          <w:color w:val="000000"/>
        </w:rPr>
      </w:r>
      <w:r>
        <w:br w:type="page"/>
      </w:r>
    </w:p>
    <w:p>
      <w:pPr>
        <w:pStyle w:val="Normal"/>
        <w:spacing w:before="120" w:after="120"/>
        <w:ind w:left="567" w:hanging="0"/>
        <w:jc w:val="both"/>
        <w:rPr>
          <w:b/>
          <w:b/>
          <w:color w:val="000000"/>
        </w:rPr>
      </w:pPr>
      <w:r>
        <w:rPr>
          <w:b/>
          <w:color w:val="000000"/>
        </w:rPr>
      </w:r>
      <w:bookmarkStart w:id="44" w:name="_GoBack"/>
      <w:bookmarkStart w:id="45" w:name="_GoBack"/>
      <w:bookmarkEnd w:id="45"/>
    </w:p>
    <w:p>
      <w:pPr>
        <w:pStyle w:val="Normal"/>
        <w:widowControl w:val="false"/>
        <w:ind w:left="567" w:hanging="0"/>
        <w:rPr>
          <w:rFonts w:ascii="Arial" w:hAnsi="Arial" w:cs="Arial"/>
          <w:b/>
          <w:b/>
          <w:color w:val="000000"/>
          <w:sz w:val="20"/>
          <w:szCs w:val="20"/>
        </w:rPr>
      </w:pPr>
      <w:r>
        <w:rPr>
          <w:rFonts w:cs="Arial" w:ascii="Arial" w:hAnsi="Arial"/>
          <w:b/>
          <w:color w:val="000000"/>
          <w:sz w:val="20"/>
          <w:szCs w:val="20"/>
        </w:rPr>
        <w:t>References</w:t>
      </w:r>
    </w:p>
    <w:p>
      <w:pPr>
        <w:pStyle w:val="Normal"/>
        <w:widowControl w:val="false"/>
        <w:ind w:left="567" w:hanging="0"/>
        <w:rPr>
          <w:rFonts w:ascii="Arial" w:hAnsi="Arial" w:cs="Arial"/>
          <w:b/>
          <w:b/>
          <w:color w:val="000000"/>
          <w:sz w:val="20"/>
          <w:szCs w:val="20"/>
        </w:rPr>
      </w:pPr>
      <w:r>
        <w:rPr>
          <w:rFonts w:cs="Arial" w:ascii="Arial" w:hAnsi="Arial"/>
          <w:b/>
          <w:color w:val="000000"/>
          <w:sz w:val="20"/>
          <w:szCs w:val="20"/>
        </w:rPr>
      </w:r>
    </w:p>
    <w:p>
      <w:pPr>
        <w:pStyle w:val="Normal"/>
        <w:widowControl w:val="false"/>
        <w:tabs>
          <w:tab w:val="left" w:pos="851" w:leader="none"/>
          <w:tab w:val="left" w:pos="1134" w:leader="none"/>
        </w:tabs>
        <w:spacing w:before="120" w:after="120"/>
        <w:ind w:left="567" w:hanging="0"/>
        <w:rPr/>
      </w:pPr>
      <w:r>
        <w:fldChar w:fldCharType="begin"/>
      </w:r>
      <w:r>
        <w:rPr/>
        <w:instrText>ADDIN Mendeley Bibliography CSL_BIBLIOGRAPHY</w:instrText>
      </w:r>
      <w:r>
        <w:rPr/>
        <w:fldChar w:fldCharType="separate"/>
      </w:r>
      <w:bookmarkStart w:id="46" w:name="__Fieldmark__1759_1299088308"/>
      <w:r>
        <w:rPr/>
        <w:t xml:space="preserve">(1) </w:t>
        <w:tab/>
        <w:t xml:space="preserve">Lucke, C.; Gutierrez-Gonzales, LH; Hamilton, J. Intracellular Lipid Binding Proteins: Evolution, Structure, and Ligand Binding. In </w:t>
      </w:r>
      <w:r>
        <w:rPr>
          <w:i/>
          <w:iCs/>
        </w:rPr>
        <w:t>Cellular proteins and their ligand fatty acids—emerging roles in gene expression, health and disease.</w:t>
      </w:r>
      <w:r>
        <w:rPr/>
        <w:t>; Duttaroy, A., Spener, F., Eds.; Wiley: New York., 2003; p 95–114.</w:t>
      </w:r>
      <w:r>
        <w:rPr/>
      </w:r>
      <w:r>
        <w:rPr/>
        <w:fldChar w:fldCharType="end"/>
      </w:r>
      <w:bookmarkEnd w:id="46"/>
    </w:p>
    <w:p>
      <w:pPr>
        <w:pStyle w:val="Normal"/>
        <w:widowControl w:val="false"/>
        <w:tabs>
          <w:tab w:val="left" w:pos="851" w:leader="none"/>
          <w:tab w:val="left" w:pos="1134" w:leader="none"/>
        </w:tabs>
        <w:spacing w:before="120" w:after="120"/>
        <w:ind w:left="567" w:hanging="0"/>
        <w:rPr/>
      </w:pPr>
      <w:r>
        <w:rPr/>
        <w:t xml:space="preserve">(2) </w:t>
        <w:tab/>
        <w:t xml:space="preserve">Storch, J.; McDermott, L. Structural and Functional Analysis of Fatty Acid-Binding Proteins. </w:t>
      </w:r>
      <w:r>
        <w:rPr>
          <w:i/>
          <w:iCs/>
        </w:rPr>
        <w:t>J Lipid Res.</w:t>
      </w:r>
      <w:r>
        <w:rPr/>
        <w:t xml:space="preserve"> </w:t>
      </w:r>
      <w:r>
        <w:rPr>
          <w:b/>
          <w:bCs/>
        </w:rPr>
        <w:t>2009</w:t>
      </w:r>
      <w:r>
        <w:rPr/>
        <w:t xml:space="preserve">, </w:t>
      </w:r>
      <w:r>
        <w:rPr>
          <w:i/>
          <w:iCs/>
        </w:rPr>
        <w:t>50(Suppl)</w:t>
      </w:r>
      <w:r>
        <w:rPr/>
        <w:t>, S126–S131. https://doi.org/10.1194/jlr.R800084-JLR200.</w:t>
      </w:r>
    </w:p>
    <w:p>
      <w:pPr>
        <w:pStyle w:val="Normal"/>
        <w:widowControl w:val="false"/>
        <w:tabs>
          <w:tab w:val="left" w:pos="851" w:leader="none"/>
          <w:tab w:val="left" w:pos="1134" w:leader="none"/>
        </w:tabs>
        <w:spacing w:before="120" w:after="120"/>
        <w:ind w:left="567" w:hanging="0"/>
        <w:rPr/>
      </w:pPr>
      <w:r>
        <w:rPr/>
        <w:t xml:space="preserve">(3) </w:t>
        <w:tab/>
        <w:t xml:space="preserve">Storch, J.; Corsico, B. The Emerging Functions and Mechanisms of Mammalian Fatty Acid-Binding Proteins. </w:t>
      </w:r>
      <w:r>
        <w:rPr>
          <w:i/>
          <w:iCs/>
        </w:rPr>
        <w:t>Annu. Rev. Nutr.</w:t>
      </w:r>
      <w:r>
        <w:rPr/>
        <w:t xml:space="preserve"> </w:t>
      </w:r>
      <w:r>
        <w:rPr>
          <w:b/>
          <w:bCs/>
        </w:rPr>
        <w:t>2008</w:t>
      </w:r>
      <w:r>
        <w:rPr/>
        <w:t xml:space="preserve">, </w:t>
      </w:r>
      <w:r>
        <w:rPr>
          <w:i/>
          <w:iCs/>
        </w:rPr>
        <w:t>28</w:t>
      </w:r>
      <w:r>
        <w:rPr/>
        <w:t>, 73–95.</w:t>
      </w:r>
    </w:p>
    <w:p>
      <w:pPr>
        <w:pStyle w:val="Normal"/>
        <w:widowControl w:val="false"/>
        <w:tabs>
          <w:tab w:val="left" w:pos="851" w:leader="none"/>
          <w:tab w:val="left" w:pos="1134" w:leader="none"/>
        </w:tabs>
        <w:spacing w:before="120" w:after="120"/>
        <w:ind w:left="567" w:hanging="0"/>
        <w:rPr/>
      </w:pPr>
      <w:r>
        <w:rPr/>
        <w:t xml:space="preserve">(4) </w:t>
        <w:tab/>
        <w:t xml:space="preserve">Banaszak, L.; Winter, N.; Xu, Z.; Bernlohr, D.; Cowan, S.; Jones, T. Lipid-Binding Proteins: A Family of Fatty Acid and Retinoid Transport Proteins. </w:t>
      </w:r>
      <w:r>
        <w:rPr>
          <w:i/>
          <w:iCs/>
        </w:rPr>
        <w:t>Adv Protein Chem.</w:t>
      </w:r>
      <w:r>
        <w:rPr/>
        <w:t xml:space="preserve"> </w:t>
      </w:r>
      <w:r>
        <w:rPr>
          <w:b/>
          <w:bCs/>
        </w:rPr>
        <w:t>1994</w:t>
      </w:r>
      <w:r>
        <w:rPr/>
        <w:t xml:space="preserve">, </w:t>
      </w:r>
      <w:r>
        <w:rPr>
          <w:i/>
          <w:iCs/>
        </w:rPr>
        <w:t>45</w:t>
      </w:r>
      <w:r>
        <w:rPr/>
        <w:t>, 89–151.</w:t>
      </w:r>
    </w:p>
    <w:p>
      <w:pPr>
        <w:pStyle w:val="Normal"/>
        <w:widowControl w:val="false"/>
        <w:tabs>
          <w:tab w:val="left" w:pos="851" w:leader="none"/>
          <w:tab w:val="left" w:pos="1134" w:leader="none"/>
        </w:tabs>
        <w:spacing w:before="120" w:after="120"/>
        <w:ind w:left="567" w:hanging="0"/>
        <w:rPr/>
      </w:pPr>
      <w:r>
        <w:rPr/>
        <w:t xml:space="preserve">(5) </w:t>
        <w:tab/>
        <w:t xml:space="preserve">Stewart, J. The Cytoplasmic Fatty-Acid-Binding Proteins: Thirty Years and Counting. </w:t>
      </w:r>
      <w:r>
        <w:rPr>
          <w:i/>
          <w:iCs/>
        </w:rPr>
        <w:t>Cell. Mol. Life Sci.</w:t>
      </w:r>
      <w:r>
        <w:rPr/>
        <w:t xml:space="preserve"> </w:t>
      </w:r>
      <w:r>
        <w:rPr>
          <w:b/>
          <w:bCs/>
        </w:rPr>
        <w:t>2000</w:t>
      </w:r>
      <w:r>
        <w:rPr/>
        <w:t xml:space="preserve">, </w:t>
      </w:r>
      <w:r>
        <w:rPr>
          <w:i/>
          <w:iCs/>
        </w:rPr>
        <w:t>57</w:t>
      </w:r>
      <w:r>
        <w:rPr/>
        <w:t>, 1345–1359.</w:t>
      </w:r>
    </w:p>
    <w:p>
      <w:pPr>
        <w:pStyle w:val="Normal"/>
        <w:widowControl w:val="false"/>
        <w:tabs>
          <w:tab w:val="left" w:pos="851" w:leader="none"/>
          <w:tab w:val="left" w:pos="1134" w:leader="none"/>
        </w:tabs>
        <w:spacing w:before="120" w:after="120"/>
        <w:ind w:left="567" w:hanging="0"/>
        <w:rPr/>
      </w:pPr>
      <w:r>
        <w:rPr/>
        <w:t xml:space="preserve">(6) </w:t>
        <w:tab/>
        <w:t xml:space="preserve">Friedman, R.; Nachliel, E.; Gutman, M. Fatty Acid Binding Proteins : Same Structure but Different Binding Mechanisms ? Molecular Dynamics Simulations of Intestinal Fatty Acid Binding Protein. </w:t>
      </w:r>
      <w:r>
        <w:rPr>
          <w:i/>
          <w:iCs/>
        </w:rPr>
        <w:t>Boiphys. J.</w:t>
      </w:r>
      <w:r>
        <w:rPr/>
        <w:t xml:space="preserve"> </w:t>
      </w:r>
      <w:r>
        <w:rPr>
          <w:b/>
          <w:bCs/>
        </w:rPr>
        <w:t>2006</w:t>
      </w:r>
      <w:r>
        <w:rPr/>
        <w:t xml:space="preserve">, </w:t>
      </w:r>
      <w:r>
        <w:rPr>
          <w:i/>
          <w:iCs/>
        </w:rPr>
        <w:t>90</w:t>
      </w:r>
      <w:r>
        <w:rPr/>
        <w:t xml:space="preserve"> (March), 1535–1545. https://doi.org/10.1529/biophysj.105.071571.</w:t>
      </w:r>
    </w:p>
    <w:p>
      <w:pPr>
        <w:pStyle w:val="Normal"/>
        <w:widowControl w:val="false"/>
        <w:tabs>
          <w:tab w:val="left" w:pos="851" w:leader="none"/>
          <w:tab w:val="left" w:pos="1134" w:leader="none"/>
        </w:tabs>
        <w:spacing w:before="120" w:after="120"/>
        <w:ind w:left="567" w:hanging="0"/>
        <w:rPr/>
      </w:pPr>
      <w:r>
        <w:rPr/>
        <w:t xml:space="preserve">(7) </w:t>
        <w:tab/>
        <w:t xml:space="preserve">Zimmerman, A. W.; Veerkamp, J. H. New Insights into the Structure and Function of Fatty Acid-Binding Proteins. </w:t>
      </w:r>
      <w:r>
        <w:rPr>
          <w:i/>
          <w:iCs/>
        </w:rPr>
        <w:t>C. Cell. Mol. Life Sci.</w:t>
      </w:r>
      <w:r>
        <w:rPr/>
        <w:t xml:space="preserve"> </w:t>
      </w:r>
      <w:r>
        <w:rPr>
          <w:b/>
          <w:bCs/>
        </w:rPr>
        <w:t>2002</w:t>
      </w:r>
      <w:r>
        <w:rPr/>
        <w:t xml:space="preserve">, </w:t>
      </w:r>
      <w:r>
        <w:rPr>
          <w:i/>
          <w:iCs/>
        </w:rPr>
        <w:t>59</w:t>
      </w:r>
      <w:r>
        <w:rPr/>
        <w:t>, 1096–1116.</w:t>
      </w:r>
    </w:p>
    <w:p>
      <w:pPr>
        <w:pStyle w:val="Normal"/>
        <w:widowControl w:val="false"/>
        <w:tabs>
          <w:tab w:val="left" w:pos="851" w:leader="none"/>
          <w:tab w:val="left" w:pos="1134" w:leader="none"/>
        </w:tabs>
        <w:spacing w:before="120" w:after="120"/>
        <w:ind w:left="567" w:hanging="0"/>
        <w:rPr/>
      </w:pPr>
      <w:r>
        <w:rPr/>
        <w:t xml:space="preserve">(8) </w:t>
        <w:tab/>
        <w:t xml:space="preserve">Veerkamp, J.; Peeters, R.; RGHJ, M. Structural and Functional Features of Different Types of Cytoplasmic Fatty Acid-Binding. </w:t>
      </w:r>
      <w:r>
        <w:rPr>
          <w:i/>
          <w:iCs/>
        </w:rPr>
        <w:t>Biochim. Biophys. Acta</w:t>
      </w:r>
      <w:r>
        <w:rPr/>
        <w:t xml:space="preserve"> </w:t>
      </w:r>
      <w:r>
        <w:rPr>
          <w:b/>
          <w:bCs/>
        </w:rPr>
        <w:t>1991</w:t>
      </w:r>
      <w:r>
        <w:rPr/>
        <w:t xml:space="preserve">, </w:t>
      </w:r>
      <w:r>
        <w:rPr>
          <w:i/>
          <w:iCs/>
        </w:rPr>
        <w:t>1081</w:t>
      </w:r>
      <w:r>
        <w:rPr/>
        <w:t>, 1–24.</w:t>
      </w:r>
    </w:p>
    <w:p>
      <w:pPr>
        <w:pStyle w:val="Normal"/>
        <w:widowControl w:val="false"/>
        <w:tabs>
          <w:tab w:val="left" w:pos="851" w:leader="none"/>
          <w:tab w:val="left" w:pos="1134" w:leader="none"/>
        </w:tabs>
        <w:spacing w:before="120" w:after="120"/>
        <w:ind w:left="567" w:hanging="0"/>
        <w:rPr/>
      </w:pPr>
      <w:r>
        <w:rPr/>
        <w:t xml:space="preserve">(9) </w:t>
        <w:tab/>
        <w:t xml:space="preserve">Sha, R.; Kane, C.; Xu, Z.; Banaszak, L.; Bernlohr, D. Modulation of Ligand Binding Affinity of the Adipocyte Lipid-Binding Protein by Selective Mutation: Analysis in Vitro and in Situ. </w:t>
      </w:r>
      <w:r>
        <w:rPr>
          <w:i/>
          <w:iCs/>
        </w:rPr>
        <w:t>J. Biol. Chem.</w:t>
      </w:r>
      <w:r>
        <w:rPr/>
        <w:t xml:space="preserve"> </w:t>
      </w:r>
      <w:r>
        <w:rPr>
          <w:b/>
          <w:bCs/>
        </w:rPr>
        <w:t>1993</w:t>
      </w:r>
      <w:r>
        <w:rPr/>
        <w:t xml:space="preserve">, </w:t>
      </w:r>
      <w:r>
        <w:rPr>
          <w:i/>
          <w:iCs/>
        </w:rPr>
        <w:t>268</w:t>
      </w:r>
      <w:r>
        <w:rPr/>
        <w:t>, 7885–7892.</w:t>
      </w:r>
    </w:p>
    <w:p>
      <w:pPr>
        <w:pStyle w:val="Normal"/>
        <w:widowControl w:val="false"/>
        <w:tabs>
          <w:tab w:val="left" w:pos="851" w:leader="none"/>
          <w:tab w:val="left" w:pos="1134" w:leader="none"/>
        </w:tabs>
        <w:spacing w:before="120" w:after="120"/>
        <w:ind w:left="567" w:hanging="0"/>
        <w:rPr/>
      </w:pPr>
      <w:r>
        <w:rPr/>
        <w:t xml:space="preserve">(10) </w:t>
        <w:tab/>
        <w:t xml:space="preserve">Prinsen, C.; Veerkamp, J. Fatty Acid Binding and Conformational Stability of Mutants of Human Muscle Fatty Acid-Binding Protein. </w:t>
      </w:r>
      <w:r>
        <w:rPr>
          <w:i/>
          <w:iCs/>
        </w:rPr>
        <w:t>Biochem. J.</w:t>
      </w:r>
      <w:r>
        <w:rPr/>
        <w:t xml:space="preserve"> </w:t>
      </w:r>
      <w:r>
        <w:rPr>
          <w:b/>
          <w:bCs/>
        </w:rPr>
        <w:t>1996</w:t>
      </w:r>
      <w:r>
        <w:rPr/>
        <w:t xml:space="preserve">, </w:t>
      </w:r>
      <w:r>
        <w:rPr>
          <w:i/>
          <w:iCs/>
        </w:rPr>
        <w:t>314</w:t>
      </w:r>
      <w:r>
        <w:rPr/>
        <w:t>, 253–260.</w:t>
      </w:r>
    </w:p>
    <w:p>
      <w:pPr>
        <w:pStyle w:val="Normal"/>
        <w:widowControl w:val="false"/>
        <w:tabs>
          <w:tab w:val="left" w:pos="851" w:leader="none"/>
          <w:tab w:val="left" w:pos="1134" w:leader="none"/>
        </w:tabs>
        <w:spacing w:before="120" w:after="120"/>
        <w:ind w:left="567" w:hanging="0"/>
        <w:rPr/>
      </w:pPr>
      <w:r>
        <w:rPr/>
        <w:t xml:space="preserve">(11) </w:t>
        <w:tab/>
        <w:t xml:space="preserve">Jakoby, M.; Miller, K.; Toner, J.; Bauman, A.; Cheng, L.; Li, E.; et. al. Ligand-Protein Electrostatic Interactions Govern the Specificity of Retinol- and Fatty Acid-Binding Proteins. </w:t>
      </w:r>
      <w:r>
        <w:rPr>
          <w:i/>
          <w:iCs/>
        </w:rPr>
        <w:t>Biochemistry</w:t>
      </w:r>
      <w:r>
        <w:rPr/>
        <w:t xml:space="preserve"> </w:t>
      </w:r>
      <w:r>
        <w:rPr>
          <w:b/>
          <w:bCs/>
        </w:rPr>
        <w:t>1993</w:t>
      </w:r>
      <w:r>
        <w:rPr/>
        <w:t xml:space="preserve">, </w:t>
      </w:r>
      <w:r>
        <w:rPr>
          <w:i/>
          <w:iCs/>
        </w:rPr>
        <w:t>32</w:t>
      </w:r>
      <w:r>
        <w:rPr/>
        <w:t>, 872–878.</w:t>
      </w:r>
    </w:p>
    <w:p>
      <w:pPr>
        <w:pStyle w:val="Normal"/>
        <w:widowControl w:val="false"/>
        <w:tabs>
          <w:tab w:val="left" w:pos="851" w:leader="none"/>
          <w:tab w:val="left" w:pos="1134" w:leader="none"/>
        </w:tabs>
        <w:spacing w:before="120" w:after="120"/>
        <w:ind w:left="567" w:hanging="0"/>
        <w:rPr/>
      </w:pPr>
      <w:r>
        <w:rPr/>
        <w:t xml:space="preserve">(12) </w:t>
        <w:tab/>
        <w:t xml:space="preserve">Thumser, A.; Evans, C.; Worrall, A.; Wilton, D. Effect on Ligand Binding of Arginine Mutations in Recombinant Rat Liver Fatty Acid-Binding Protein. </w:t>
      </w:r>
      <w:r>
        <w:rPr>
          <w:i/>
          <w:iCs/>
        </w:rPr>
        <w:t>Biochem. J.</w:t>
      </w:r>
      <w:r>
        <w:rPr/>
        <w:t xml:space="preserve"> </w:t>
      </w:r>
      <w:r>
        <w:rPr>
          <w:b/>
          <w:bCs/>
        </w:rPr>
        <w:t>1994</w:t>
      </w:r>
      <w:r>
        <w:rPr/>
        <w:t xml:space="preserve">, </w:t>
      </w:r>
      <w:r>
        <w:rPr>
          <w:i/>
          <w:iCs/>
        </w:rPr>
        <w:t>297</w:t>
      </w:r>
      <w:r>
        <w:rPr/>
        <w:t>, 103–107.</w:t>
      </w:r>
    </w:p>
    <w:p>
      <w:pPr>
        <w:pStyle w:val="Normal"/>
        <w:widowControl w:val="false"/>
        <w:tabs>
          <w:tab w:val="left" w:pos="851" w:leader="none"/>
          <w:tab w:val="left" w:pos="1134" w:leader="none"/>
        </w:tabs>
        <w:spacing w:before="120" w:after="120"/>
        <w:ind w:left="567" w:hanging="0"/>
        <w:rPr/>
      </w:pPr>
      <w:r>
        <w:rPr/>
        <w:t xml:space="preserve">(13) </w:t>
        <w:tab/>
        <w:t xml:space="preserve">Thumser, A.; Voysey, J.; Wilton, D. Mutations of Recombinant Rat Liver Fatty Acid-Binding Protein at Residues 102 and 122 Alter Its Structural Integrity and Affinity for Physiological Ligands. </w:t>
      </w:r>
      <w:r>
        <w:rPr>
          <w:i/>
          <w:iCs/>
        </w:rPr>
        <w:t>Biochem. J.</w:t>
      </w:r>
      <w:r>
        <w:rPr/>
        <w:t xml:space="preserve"> </w:t>
      </w:r>
      <w:r>
        <w:rPr>
          <w:b/>
          <w:bCs/>
        </w:rPr>
        <w:t>1996</w:t>
      </w:r>
      <w:r>
        <w:rPr/>
        <w:t xml:space="preserve">, </w:t>
      </w:r>
      <w:r>
        <w:rPr>
          <w:i/>
          <w:iCs/>
        </w:rPr>
        <w:t>314</w:t>
      </w:r>
      <w:r>
        <w:rPr/>
        <w:t>, 943–949.</w:t>
      </w:r>
    </w:p>
    <w:p>
      <w:pPr>
        <w:pStyle w:val="Normal"/>
        <w:widowControl w:val="false"/>
        <w:tabs>
          <w:tab w:val="left" w:pos="851" w:leader="none"/>
          <w:tab w:val="left" w:pos="1134" w:leader="none"/>
        </w:tabs>
        <w:spacing w:before="120" w:after="120"/>
        <w:ind w:left="567" w:hanging="0"/>
        <w:rPr/>
      </w:pPr>
      <w:r>
        <w:rPr/>
        <w:t xml:space="preserve">(14) </w:t>
        <w:tab/>
        <w:t xml:space="preserve">McDermott, L.; Cooper, A.; Kennedy, M. Novel Classes of Fatty Acid and Retinol Binding Protein from Nematodes. </w:t>
      </w:r>
      <w:r>
        <w:rPr>
          <w:i/>
          <w:iCs/>
        </w:rPr>
        <w:t>Mol. Cell. Biochem.</w:t>
      </w:r>
      <w:r>
        <w:rPr/>
        <w:t xml:space="preserve"> </w:t>
      </w:r>
      <w:r>
        <w:rPr>
          <w:b/>
          <w:bCs/>
        </w:rPr>
        <w:t>1999</w:t>
      </w:r>
      <w:r>
        <w:rPr/>
        <w:t xml:space="preserve">, </w:t>
      </w:r>
      <w:r>
        <w:rPr>
          <w:i/>
          <w:iCs/>
        </w:rPr>
        <w:t>192</w:t>
      </w:r>
      <w:r>
        <w:rPr/>
        <w:t>, 69–75.</w:t>
      </w:r>
    </w:p>
    <w:p>
      <w:pPr>
        <w:pStyle w:val="Normal"/>
        <w:widowControl w:val="false"/>
        <w:tabs>
          <w:tab w:val="left" w:pos="851" w:leader="none"/>
          <w:tab w:val="left" w:pos="1134" w:leader="none"/>
        </w:tabs>
        <w:spacing w:before="120" w:after="120"/>
        <w:ind w:left="567" w:hanging="0"/>
        <w:rPr/>
      </w:pPr>
      <w:r>
        <w:rPr/>
        <w:t xml:space="preserve">(15) </w:t>
        <w:tab/>
        <w:t xml:space="preserve">Barrett, J. </w:t>
      </w:r>
      <w:r>
        <w:rPr>
          <w:i/>
          <w:iCs/>
        </w:rPr>
        <w:t>Perspectives on Helminthology</w:t>
      </w:r>
      <w:r>
        <w:rPr/>
        <w:t>; Science Publishers Inc: Enfield, NH, 2001.</w:t>
      </w:r>
    </w:p>
    <w:p>
      <w:pPr>
        <w:pStyle w:val="Normal"/>
        <w:widowControl w:val="false"/>
        <w:tabs>
          <w:tab w:val="left" w:pos="851" w:leader="none"/>
          <w:tab w:val="left" w:pos="1134" w:leader="none"/>
        </w:tabs>
        <w:spacing w:before="120" w:after="120"/>
        <w:ind w:left="567" w:hanging="0"/>
        <w:rPr/>
      </w:pPr>
      <w:r>
        <w:rPr/>
        <w:t xml:space="preserve">(16) </w:t>
        <w:tab/>
        <w:t xml:space="preserve">Zhan, B.; Arumugam, S.; Kennedy, M.; Tricoche, N.; Lian, L.-Y.; Asojo, O.; Bennuru, S.; Bottazzi, M.; Hotez, P.; Id, S.; et al. Ligand Binding Properties of Two Brugia Malayi Fatty Acid and Retinol ( FAR ) Binding Proteins and Their Vaccine Efficacies against Challenge Infection in Gerbils. </w:t>
      </w:r>
      <w:r>
        <w:rPr>
          <w:i/>
          <w:iCs/>
        </w:rPr>
        <w:t>PLOS Negl Trop Dis</w:t>
      </w:r>
      <w:r>
        <w:rPr/>
        <w:t xml:space="preserve"> </w:t>
      </w:r>
      <w:r>
        <w:rPr>
          <w:b/>
          <w:bCs/>
        </w:rPr>
        <w:t>2018</w:t>
      </w:r>
      <w:r>
        <w:rPr/>
        <w:t xml:space="preserve">, </w:t>
      </w:r>
      <w:r>
        <w:rPr>
          <w:i/>
          <w:iCs/>
        </w:rPr>
        <w:t>12</w:t>
      </w:r>
      <w:r>
        <w:rPr/>
        <w:t xml:space="preserve"> (10), e0006772.</w:t>
      </w:r>
    </w:p>
    <w:p>
      <w:pPr>
        <w:pStyle w:val="Normal"/>
        <w:widowControl w:val="false"/>
        <w:tabs>
          <w:tab w:val="left" w:pos="851" w:leader="none"/>
          <w:tab w:val="left" w:pos="1134" w:leader="none"/>
        </w:tabs>
        <w:spacing w:before="120" w:after="120"/>
        <w:ind w:left="567" w:hanging="0"/>
        <w:rPr/>
      </w:pPr>
      <w:r>
        <w:rPr/>
        <w:t xml:space="preserve">(17) </w:t>
        <w:tab/>
        <w:t xml:space="preserve">Rey-Burusco, M.; Ibañez-Shimabukuro, M.; Gabrielsen, M.; Franchini, G.; Roe, A.; Smith, B.; Griffiths, K.; Zhan, B.; Cooper, A.; Kennedy, M.; et al. Diversity in the Structures and Ligand-Binding Sites of Nematode Fatty Acid and Retinol-Binding Proteins Revealed by Na-FAR-1 from Necator Americanus. </w:t>
      </w:r>
      <w:r>
        <w:rPr>
          <w:i/>
          <w:iCs/>
        </w:rPr>
        <w:t>Biochem. J.</w:t>
      </w:r>
      <w:r>
        <w:rPr/>
        <w:t xml:space="preserve"> </w:t>
      </w:r>
      <w:r>
        <w:rPr>
          <w:b/>
          <w:bCs/>
        </w:rPr>
        <w:t>2015</w:t>
      </w:r>
      <w:r>
        <w:rPr/>
        <w:t xml:space="preserve">, </w:t>
      </w:r>
      <w:r>
        <w:rPr>
          <w:i/>
          <w:iCs/>
        </w:rPr>
        <w:t>471</w:t>
      </w:r>
      <w:r>
        <w:rPr/>
        <w:t>, 403–414. https://doi.org/10.1042/BJ20150068.</w:t>
      </w:r>
    </w:p>
    <w:p>
      <w:pPr>
        <w:pStyle w:val="Normal"/>
        <w:widowControl w:val="false"/>
        <w:tabs>
          <w:tab w:val="left" w:pos="851" w:leader="none"/>
          <w:tab w:val="left" w:pos="1134" w:leader="none"/>
        </w:tabs>
        <w:spacing w:before="120" w:after="120"/>
        <w:ind w:left="567" w:hanging="0"/>
        <w:rPr/>
      </w:pPr>
      <w:r>
        <w:rPr/>
        <w:t xml:space="preserve">(18) </w:t>
        <w:tab/>
        <w:t xml:space="preserve">Jordanova, R.; Groves, M.; Kostova, E.; Woltersdorf, C.; Liebau, E.; Tucker, P. Fatty Acid- and Retinoid-Binding Proteins Have Distinct Binding Pockets for the Two Types of Cargo. </w:t>
      </w:r>
      <w:r>
        <w:rPr>
          <w:i/>
          <w:iCs/>
        </w:rPr>
        <w:t>J. Biol. Chem.</w:t>
      </w:r>
      <w:r>
        <w:rPr/>
        <w:t xml:space="preserve"> </w:t>
      </w:r>
      <w:r>
        <w:rPr>
          <w:b/>
          <w:bCs/>
        </w:rPr>
        <w:t>2009</w:t>
      </w:r>
      <w:r>
        <w:rPr/>
        <w:t xml:space="preserve">, </w:t>
      </w:r>
      <w:r>
        <w:rPr>
          <w:i/>
          <w:iCs/>
        </w:rPr>
        <w:t>284</w:t>
      </w:r>
      <w:r>
        <w:rPr/>
        <w:t xml:space="preserve"> (51), 35818–35826. https://doi.org/10.1074/jbc.M109.022731.</w:t>
      </w:r>
    </w:p>
    <w:p>
      <w:pPr>
        <w:pStyle w:val="Normal"/>
        <w:widowControl w:val="false"/>
        <w:tabs>
          <w:tab w:val="left" w:pos="851" w:leader="none"/>
          <w:tab w:val="left" w:pos="1134" w:leader="none"/>
        </w:tabs>
        <w:spacing w:before="120" w:after="120"/>
        <w:ind w:left="567" w:hanging="0"/>
        <w:rPr/>
      </w:pPr>
      <w:r>
        <w:rPr/>
        <w:t xml:space="preserve">(19) </w:t>
        <w:tab/>
        <w:t xml:space="preserve">Salomon-Ferrer, R.; Case, D.; Walker, R. An Overview of the Amber Biomolecular Simulation Package. </w:t>
      </w:r>
      <w:r>
        <w:rPr>
          <w:i/>
          <w:iCs/>
        </w:rPr>
        <w:t>WIREs Comput. Mol. Sci.</w:t>
      </w:r>
      <w:r>
        <w:rPr/>
        <w:t xml:space="preserve"> </w:t>
      </w:r>
      <w:r>
        <w:rPr>
          <w:b/>
          <w:bCs/>
        </w:rPr>
        <w:t>2013</w:t>
      </w:r>
      <w:r>
        <w:rPr/>
        <w:t xml:space="preserve">, </w:t>
      </w:r>
      <w:r>
        <w:rPr>
          <w:i/>
          <w:iCs/>
        </w:rPr>
        <w:t>3</w:t>
      </w:r>
      <w:r>
        <w:rPr/>
        <w:t>, 198–210.</w:t>
      </w:r>
    </w:p>
    <w:p>
      <w:pPr>
        <w:pStyle w:val="Normal"/>
        <w:widowControl w:val="false"/>
        <w:tabs>
          <w:tab w:val="left" w:pos="851" w:leader="none"/>
          <w:tab w:val="left" w:pos="1134" w:leader="none"/>
        </w:tabs>
        <w:spacing w:before="120" w:after="120"/>
        <w:ind w:left="567" w:hanging="0"/>
        <w:rPr/>
      </w:pPr>
      <w:r>
        <w:rPr/>
        <w:t xml:space="preserve">(20) </w:t>
        <w:tab/>
        <w:t xml:space="preserve">Case, D.; Cheatham, T. I.; Darden, T.; Gohlke, H.; Luo, R.; Merz, K. J.; Onufriev, A.; Simmerling, C.; Wang, B.; Woods, R. The Amber Biomolecular Simulation Programs. </w:t>
      </w:r>
      <w:r>
        <w:rPr>
          <w:i/>
          <w:iCs/>
        </w:rPr>
        <w:t>J. Comput. Chem.</w:t>
      </w:r>
      <w:r>
        <w:rPr/>
        <w:t xml:space="preserve"> </w:t>
      </w:r>
      <w:r>
        <w:rPr>
          <w:b/>
          <w:bCs/>
        </w:rPr>
        <w:t>2005</w:t>
      </w:r>
      <w:r>
        <w:rPr/>
        <w:t xml:space="preserve">, </w:t>
      </w:r>
      <w:r>
        <w:rPr>
          <w:i/>
          <w:iCs/>
        </w:rPr>
        <w:t>26</w:t>
      </w:r>
      <w:r>
        <w:rPr/>
        <w:t>, 1668–1688.</w:t>
      </w:r>
    </w:p>
    <w:p>
      <w:pPr>
        <w:pStyle w:val="Normal"/>
        <w:widowControl w:val="false"/>
        <w:tabs>
          <w:tab w:val="left" w:pos="851" w:leader="none"/>
          <w:tab w:val="left" w:pos="1134" w:leader="none"/>
        </w:tabs>
        <w:spacing w:before="120" w:after="120"/>
        <w:ind w:left="567" w:hanging="0"/>
        <w:rPr/>
      </w:pPr>
      <w:r>
        <w:rPr/>
        <w:t xml:space="preserve">(21) </w:t>
        <w:tab/>
        <w:t xml:space="preserve">Berman, H.; Westbrook, J.; Feng, Z.; Gilliland, G.; Bhat, T. The Protein Data Bank. </w:t>
      </w:r>
      <w:r>
        <w:rPr>
          <w:i/>
          <w:iCs/>
        </w:rPr>
        <w:t>Nucleic Acids Res.</w:t>
      </w:r>
      <w:r>
        <w:rPr/>
        <w:t xml:space="preserve"> </w:t>
      </w:r>
      <w:r>
        <w:rPr>
          <w:b/>
          <w:bCs/>
        </w:rPr>
        <w:t>2000</w:t>
      </w:r>
      <w:r>
        <w:rPr/>
        <w:t xml:space="preserve">, </w:t>
      </w:r>
      <w:r>
        <w:rPr>
          <w:i/>
          <w:iCs/>
        </w:rPr>
        <w:t>28</w:t>
      </w:r>
      <w:r>
        <w:rPr/>
        <w:t>, 235–242.</w:t>
      </w:r>
    </w:p>
    <w:p>
      <w:pPr>
        <w:pStyle w:val="Normal"/>
        <w:widowControl w:val="false"/>
        <w:tabs>
          <w:tab w:val="left" w:pos="851" w:leader="none"/>
          <w:tab w:val="left" w:pos="1134" w:leader="none"/>
        </w:tabs>
        <w:spacing w:before="120" w:after="120"/>
        <w:ind w:left="567" w:hanging="0"/>
        <w:rPr/>
      </w:pPr>
      <w:r>
        <w:rPr/>
        <w:t xml:space="preserve">(22) </w:t>
        <w:tab/>
        <w:t xml:space="preserve">Sacchettini, J.; Gordon, J.; Banaszak, L. Refined Apoprotein Structure of Rat Intestinal Fatty Acid Binding Protein Produced in Escherichia Coli. </w:t>
      </w:r>
      <w:r>
        <w:rPr>
          <w:i/>
          <w:iCs/>
        </w:rPr>
        <w:t>Proc Natl Acad Sci USA</w:t>
      </w:r>
      <w:r>
        <w:rPr/>
        <w:t xml:space="preserve"> </w:t>
      </w:r>
      <w:r>
        <w:rPr>
          <w:b/>
          <w:bCs/>
        </w:rPr>
        <w:t>1989</w:t>
      </w:r>
      <w:r>
        <w:rPr/>
        <w:t xml:space="preserve">, </w:t>
      </w:r>
      <w:r>
        <w:rPr>
          <w:i/>
          <w:iCs/>
        </w:rPr>
        <w:t>86</w:t>
      </w:r>
      <w:r>
        <w:rPr/>
        <w:t xml:space="preserve"> (October), 7736–7740.</w:t>
      </w:r>
    </w:p>
    <w:p>
      <w:pPr>
        <w:pStyle w:val="Normal"/>
        <w:widowControl w:val="false"/>
        <w:tabs>
          <w:tab w:val="left" w:pos="851" w:leader="none"/>
          <w:tab w:val="left" w:pos="1134" w:leader="none"/>
        </w:tabs>
        <w:spacing w:before="120" w:after="120"/>
        <w:ind w:left="567" w:hanging="0"/>
        <w:rPr/>
      </w:pPr>
      <w:r>
        <w:rPr/>
        <w:t xml:space="preserve">(23) </w:t>
        <w:tab/>
        <w:t xml:space="preserve">Sacchettini, J.; Gordon, J.; Banaszakl, L. Crystal Structure of Rat Intestinal Protein Refinement and Analysis of the Escherichia Coli- Derived Protein with Bound Palmitate. </w:t>
      </w:r>
      <w:r>
        <w:rPr>
          <w:i/>
          <w:iCs/>
        </w:rPr>
        <w:t>J Mol Biol</w:t>
      </w:r>
      <w:r>
        <w:rPr/>
        <w:t xml:space="preserve"> </w:t>
      </w:r>
      <w:r>
        <w:rPr>
          <w:b/>
          <w:bCs/>
        </w:rPr>
        <w:t>1989</w:t>
      </w:r>
      <w:r>
        <w:rPr/>
        <w:t xml:space="preserve">, </w:t>
      </w:r>
      <w:r>
        <w:rPr>
          <w:i/>
          <w:iCs/>
        </w:rPr>
        <w:t>208</w:t>
      </w:r>
      <w:r>
        <w:rPr/>
        <w:t>, 327–339.</w:t>
      </w:r>
    </w:p>
    <w:p>
      <w:pPr>
        <w:pStyle w:val="Normal"/>
        <w:widowControl w:val="false"/>
        <w:tabs>
          <w:tab w:val="left" w:pos="851" w:leader="none"/>
          <w:tab w:val="left" w:pos="1134" w:leader="none"/>
        </w:tabs>
        <w:spacing w:before="120" w:after="120"/>
        <w:ind w:left="567" w:hanging="0"/>
        <w:rPr/>
      </w:pPr>
      <w:r>
        <w:rPr/>
        <w:t xml:space="preserve">(24) </w:t>
        <w:tab/>
        <w:t xml:space="preserve">Hodsdon, M.; Ponder, J.; Cistola, D. The NMR Solution Structure of Intestinal Fatty Acid-Binding Protein Complexed with Palmitate: Application of a Novel Distance Geometry Algorithm. </w:t>
      </w:r>
      <w:r>
        <w:rPr>
          <w:i/>
          <w:iCs/>
        </w:rPr>
        <w:t>J Mol Biol</w:t>
      </w:r>
      <w:r>
        <w:rPr/>
        <w:t xml:space="preserve"> </w:t>
      </w:r>
      <w:r>
        <w:rPr>
          <w:b/>
          <w:bCs/>
        </w:rPr>
        <w:t>1996</w:t>
      </w:r>
      <w:r>
        <w:rPr/>
        <w:t xml:space="preserve">, </w:t>
      </w:r>
      <w:r>
        <w:rPr>
          <w:i/>
          <w:iCs/>
        </w:rPr>
        <w:t>264</w:t>
      </w:r>
      <w:r>
        <w:rPr/>
        <w:t>, 585–602.</w:t>
      </w:r>
    </w:p>
    <w:p>
      <w:pPr>
        <w:pStyle w:val="Normal"/>
        <w:widowControl w:val="false"/>
        <w:tabs>
          <w:tab w:val="left" w:pos="851" w:leader="none"/>
          <w:tab w:val="left" w:pos="1134" w:leader="none"/>
        </w:tabs>
        <w:spacing w:before="120" w:after="120"/>
        <w:ind w:left="567" w:hanging="0"/>
        <w:rPr/>
      </w:pPr>
      <w:r>
        <w:rPr/>
        <w:t xml:space="preserve">(25) </w:t>
        <w:tab/>
        <w:t xml:space="preserve">Ponder, J.; Case, D. Force Fields for Protein Simulations. </w:t>
      </w:r>
      <w:r>
        <w:rPr>
          <w:i/>
          <w:iCs/>
        </w:rPr>
        <w:t>Adv. Prot. Chem.</w:t>
      </w:r>
      <w:r>
        <w:rPr/>
        <w:t xml:space="preserve"> </w:t>
      </w:r>
      <w:r>
        <w:rPr>
          <w:b/>
          <w:bCs/>
        </w:rPr>
        <w:t>2003</w:t>
      </w:r>
      <w:r>
        <w:rPr/>
        <w:t xml:space="preserve">, </w:t>
      </w:r>
      <w:r>
        <w:rPr>
          <w:i/>
          <w:iCs/>
        </w:rPr>
        <w:t>66</w:t>
      </w:r>
      <w:r>
        <w:rPr/>
        <w:t>, 27–85.</w:t>
      </w:r>
    </w:p>
    <w:p>
      <w:pPr>
        <w:pStyle w:val="Normal"/>
        <w:widowControl w:val="false"/>
        <w:tabs>
          <w:tab w:val="left" w:pos="851" w:leader="none"/>
          <w:tab w:val="left" w:pos="1134" w:leader="none"/>
        </w:tabs>
        <w:spacing w:before="120" w:after="120"/>
        <w:ind w:left="567" w:hanging="0"/>
        <w:rPr/>
      </w:pPr>
      <w:r>
        <w:rPr/>
        <w:t xml:space="preserve">(26) </w:t>
        <w:tab/>
        <w:t xml:space="preserve">Maier, J.; Martinez, C.; Kasavajhala, K.; Wickstrom, L.; Hauser, K.; Simmerling, C. Ff14SB: Improving the Accuracy of Protein Side Chain and Backbone Parameters from Ff99SB. </w:t>
      </w:r>
      <w:r>
        <w:rPr>
          <w:i/>
          <w:iCs/>
        </w:rPr>
        <w:t>J. Chem. Theor. Comput.</w:t>
      </w:r>
      <w:r>
        <w:rPr/>
        <w:t xml:space="preserve"> </w:t>
      </w:r>
      <w:r>
        <w:rPr>
          <w:b/>
          <w:bCs/>
        </w:rPr>
        <w:t>2015</w:t>
      </w:r>
      <w:r>
        <w:rPr/>
        <w:t xml:space="preserve">, </w:t>
      </w:r>
      <w:r>
        <w:rPr>
          <w:i/>
          <w:iCs/>
        </w:rPr>
        <w:t>11</w:t>
      </w:r>
      <w:r>
        <w:rPr/>
        <w:t>, 3696–3713.</w:t>
      </w:r>
    </w:p>
    <w:p>
      <w:pPr>
        <w:pStyle w:val="Normal"/>
        <w:widowControl w:val="false"/>
        <w:tabs>
          <w:tab w:val="left" w:pos="851" w:leader="none"/>
          <w:tab w:val="left" w:pos="1134" w:leader="none"/>
        </w:tabs>
        <w:spacing w:before="120" w:after="120"/>
        <w:ind w:left="567" w:hanging="0"/>
        <w:rPr/>
      </w:pPr>
      <w:r>
        <w:rPr/>
        <w:t xml:space="preserve">(27) </w:t>
        <w:tab/>
        <w:t xml:space="preserve">Jorgensen, W.; Chandrasekhar, J.; Madura, J.; Impey, R.; and Klein, M. Comparison of Simple Potential Functions for Simulating Liquid Water. </w:t>
      </w:r>
      <w:r>
        <w:rPr>
          <w:i/>
          <w:iCs/>
        </w:rPr>
        <w:t>J. Chem. Phys.</w:t>
      </w:r>
      <w:r>
        <w:rPr/>
        <w:t xml:space="preserve"> </w:t>
      </w:r>
      <w:r>
        <w:rPr>
          <w:b/>
          <w:bCs/>
        </w:rPr>
        <w:t>1983</w:t>
      </w:r>
      <w:r>
        <w:rPr/>
        <w:t xml:space="preserve">, </w:t>
      </w:r>
      <w:r>
        <w:rPr>
          <w:i/>
          <w:iCs/>
        </w:rPr>
        <w:t>79</w:t>
      </w:r>
      <w:r>
        <w:rPr/>
        <w:t>, 926–935.</w:t>
      </w:r>
    </w:p>
    <w:p>
      <w:pPr>
        <w:pStyle w:val="Normal"/>
        <w:widowControl w:val="false"/>
        <w:tabs>
          <w:tab w:val="left" w:pos="851" w:leader="none"/>
          <w:tab w:val="left" w:pos="1134" w:leader="none"/>
        </w:tabs>
        <w:spacing w:before="120" w:after="120"/>
        <w:ind w:left="567" w:hanging="0"/>
        <w:rPr/>
      </w:pPr>
      <w:r>
        <w:rPr/>
        <w:t xml:space="preserve">(28) </w:t>
        <w:tab/>
        <w:t xml:space="preserve">Ichiye, T.; Karplus, M. Collective Motions in Proteins: A Covariance Analysis of Atomic Fluctuations in Molecular Dynamics and Normal Mode Simulations. </w:t>
      </w:r>
      <w:r>
        <w:rPr>
          <w:i/>
          <w:iCs/>
        </w:rPr>
        <w:t>Proteins Struct. Funct. Bioinforma.</w:t>
      </w:r>
      <w:r>
        <w:rPr/>
        <w:t xml:space="preserve"> </w:t>
      </w:r>
      <w:r>
        <w:rPr>
          <w:b/>
          <w:bCs/>
        </w:rPr>
        <w:t>1991</w:t>
      </w:r>
      <w:r>
        <w:rPr/>
        <w:t xml:space="preserve">, </w:t>
      </w:r>
      <w:r>
        <w:rPr>
          <w:i/>
          <w:iCs/>
        </w:rPr>
        <w:t>11</w:t>
      </w:r>
      <w:r>
        <w:rPr/>
        <w:t>, 205–217.</w:t>
      </w:r>
    </w:p>
    <w:p>
      <w:pPr>
        <w:pStyle w:val="Normal"/>
        <w:widowControl w:val="false"/>
        <w:tabs>
          <w:tab w:val="left" w:pos="851" w:leader="none"/>
          <w:tab w:val="left" w:pos="1134" w:leader="none"/>
        </w:tabs>
        <w:spacing w:before="120" w:after="120"/>
        <w:ind w:left="567" w:hanging="0"/>
        <w:rPr/>
      </w:pPr>
      <w:r>
        <w:rPr/>
        <w:t xml:space="preserve">(29) </w:t>
        <w:tab/>
        <w:t xml:space="preserve">Horiuchi, T.; Go, N. Projection of Monte Carlo and Molecular Dynamics Trajectories onto the Normal Mode Axes: Human Lysozyme. </w:t>
      </w:r>
      <w:r>
        <w:rPr>
          <w:i/>
          <w:iCs/>
        </w:rPr>
        <w:t>Proteins Struct. Funct. Genet.</w:t>
      </w:r>
      <w:r>
        <w:rPr/>
        <w:t xml:space="preserve"> </w:t>
      </w:r>
      <w:r>
        <w:rPr>
          <w:b/>
          <w:bCs/>
        </w:rPr>
        <w:t>1991</w:t>
      </w:r>
      <w:r>
        <w:rPr/>
        <w:t xml:space="preserve">, </w:t>
      </w:r>
      <w:r>
        <w:rPr>
          <w:i/>
          <w:iCs/>
        </w:rPr>
        <w:t>10</w:t>
      </w:r>
      <w:r>
        <w:rPr/>
        <w:t xml:space="preserve"> (2), 106–116. https://doi.org/10.1002/prot.340100204.</w:t>
      </w:r>
    </w:p>
    <w:p>
      <w:pPr>
        <w:pStyle w:val="Normal"/>
        <w:widowControl w:val="false"/>
        <w:tabs>
          <w:tab w:val="left" w:pos="851" w:leader="none"/>
          <w:tab w:val="left" w:pos="1134" w:leader="none"/>
        </w:tabs>
        <w:spacing w:before="120" w:after="120"/>
        <w:ind w:left="567" w:hanging="0"/>
        <w:rPr/>
      </w:pPr>
      <w:r>
        <w:rPr/>
        <w:t xml:space="preserve">(30) </w:t>
        <w:tab/>
        <w:t xml:space="preserve">van Aalten, D. M. F.; de Groot, B. L.; Findlay, J. B. C.; Berendsen, H. J. C.; Amadei, A. A Comparison of Techniques for Calculating Protein Essential Dynamics. </w:t>
      </w:r>
      <w:r>
        <w:rPr>
          <w:i/>
          <w:iCs/>
        </w:rPr>
        <w:t>J. Comput. Chem.</w:t>
      </w:r>
      <w:r>
        <w:rPr/>
        <w:t xml:space="preserve"> </w:t>
      </w:r>
      <w:r>
        <w:rPr>
          <w:b/>
          <w:bCs/>
        </w:rPr>
        <w:t>1997</w:t>
      </w:r>
      <w:r>
        <w:rPr/>
        <w:t xml:space="preserve">, </w:t>
      </w:r>
      <w:r>
        <w:rPr>
          <w:i/>
          <w:iCs/>
        </w:rPr>
        <w:t>18</w:t>
      </w:r>
      <w:r>
        <w:rPr/>
        <w:t xml:space="preserve"> (2), 169–181.</w:t>
      </w:r>
    </w:p>
    <w:p>
      <w:pPr>
        <w:pStyle w:val="Normal"/>
        <w:widowControl w:val="false"/>
        <w:tabs>
          <w:tab w:val="left" w:pos="851" w:leader="none"/>
          <w:tab w:val="left" w:pos="1134" w:leader="none"/>
        </w:tabs>
        <w:spacing w:before="120" w:after="120"/>
        <w:ind w:left="567" w:hanging="0"/>
        <w:rPr/>
      </w:pPr>
      <w:r>
        <w:rPr/>
        <w:t xml:space="preserve">(31) </w:t>
        <w:tab/>
        <w:t xml:space="preserve">Jolliffe, I. T. </w:t>
      </w:r>
      <w:r>
        <w:rPr>
          <w:i/>
          <w:iCs/>
        </w:rPr>
        <w:t>Principal Component Analysis, Second Edition</w:t>
      </w:r>
      <w:r>
        <w:rPr/>
        <w:t>, Springer S.; Springer-Verlag, 2002.</w:t>
      </w:r>
    </w:p>
    <w:p>
      <w:pPr>
        <w:pStyle w:val="Normal"/>
        <w:widowControl w:val="false"/>
        <w:tabs>
          <w:tab w:val="left" w:pos="851" w:leader="none"/>
          <w:tab w:val="left" w:pos="1134" w:leader="none"/>
        </w:tabs>
        <w:spacing w:before="120" w:after="120"/>
        <w:ind w:left="567" w:hanging="0"/>
        <w:rPr/>
      </w:pPr>
      <w:r>
        <w:rPr/>
        <w:t xml:space="preserve">(32) </w:t>
        <w:tab/>
        <w:t xml:space="preserve">David, C. C.; Jacobs, D. J. </w:t>
      </w:r>
      <w:r>
        <w:rPr>
          <w:i/>
          <w:iCs/>
        </w:rPr>
        <w:t>Protein Dynamics</w:t>
      </w:r>
      <w:r>
        <w:rPr/>
        <w:t>; Livesay, D. R., Ed.; Methods in Molecular Biology; Humana Press: Totowa, NJ, 2014; Vol. 1084. https://doi.org/10.1007/978-1-62703-658-0.</w:t>
      </w:r>
    </w:p>
    <w:p>
      <w:pPr>
        <w:pStyle w:val="Normal"/>
        <w:widowControl w:val="false"/>
        <w:tabs>
          <w:tab w:val="left" w:pos="851" w:leader="none"/>
          <w:tab w:val="left" w:pos="1134" w:leader="none"/>
        </w:tabs>
        <w:spacing w:before="120" w:after="120"/>
        <w:ind w:left="567" w:hanging="0"/>
        <w:rPr/>
      </w:pPr>
      <w:r>
        <w:rPr/>
        <w:t xml:space="preserve">(33) </w:t>
        <w:tab/>
        <w:t xml:space="preserve">Amadei, A.; Linssen, A. B. M.; Berendsen, H. J. C. Essential Dynamics of Proteins. </w:t>
      </w:r>
      <w:r>
        <w:rPr>
          <w:i/>
          <w:iCs/>
        </w:rPr>
        <w:t>Proteins Struct. Funct. Genet.</w:t>
      </w:r>
      <w:r>
        <w:rPr/>
        <w:t xml:space="preserve"> </w:t>
      </w:r>
      <w:r>
        <w:rPr>
          <w:b/>
          <w:bCs/>
        </w:rPr>
        <w:t>1993</w:t>
      </w:r>
      <w:r>
        <w:rPr/>
        <w:t xml:space="preserve">, </w:t>
      </w:r>
      <w:r>
        <w:rPr>
          <w:i/>
          <w:iCs/>
        </w:rPr>
        <w:t>17</w:t>
      </w:r>
      <w:r>
        <w:rPr/>
        <w:t xml:space="preserve"> (4), 412–425. https://doi.org/10.1002/prot.340170408.</w:t>
      </w:r>
    </w:p>
    <w:p>
      <w:pPr>
        <w:pStyle w:val="Normal"/>
        <w:widowControl w:val="false"/>
        <w:tabs>
          <w:tab w:val="left" w:pos="851" w:leader="none"/>
          <w:tab w:val="left" w:pos="1134" w:leader="none"/>
        </w:tabs>
        <w:spacing w:before="120" w:after="120"/>
        <w:ind w:left="567" w:hanging="0"/>
        <w:rPr/>
      </w:pPr>
      <w:r>
        <w:rPr/>
        <w:t xml:space="preserve">(34) </w:t>
        <w:tab/>
        <w:t xml:space="preserve">Barletta, G. P.; Fernandez-Alberti, S. Protein Fluctuations and Cavity Changes Relationship. </w:t>
      </w:r>
      <w:r>
        <w:rPr>
          <w:i/>
          <w:iCs/>
        </w:rPr>
        <w:t>J. Chem. Theory Comput.</w:t>
      </w:r>
      <w:r>
        <w:rPr/>
        <w:t xml:space="preserve"> </w:t>
      </w:r>
      <w:r>
        <w:rPr>
          <w:b/>
          <w:bCs/>
        </w:rPr>
        <w:t>2018</w:t>
      </w:r>
      <w:r>
        <w:rPr/>
        <w:t xml:space="preserve">, </w:t>
      </w:r>
      <w:r>
        <w:rPr>
          <w:i/>
          <w:iCs/>
        </w:rPr>
        <w:t>14</w:t>
      </w:r>
      <w:r>
        <w:rPr/>
        <w:t xml:space="preserve"> (2), 998–1008.</w:t>
      </w:r>
    </w:p>
    <w:p>
      <w:pPr>
        <w:pStyle w:val="Normal"/>
        <w:widowControl w:val="false"/>
        <w:tabs>
          <w:tab w:val="left" w:pos="851" w:leader="none"/>
          <w:tab w:val="left" w:pos="1134" w:leader="none"/>
        </w:tabs>
        <w:spacing w:before="120" w:after="120"/>
        <w:ind w:left="567" w:hanging="0"/>
        <w:rPr/>
      </w:pPr>
      <w:r>
        <w:rPr/>
        <w:t xml:space="preserve">(35) </w:t>
        <w:tab/>
        <w:t xml:space="preserve">Brooks, B.; Janezic, D.; Karplus, M. Harmonic Analysis of Large Systems. I. Methodology. </w:t>
      </w:r>
      <w:r>
        <w:rPr>
          <w:i/>
          <w:iCs/>
        </w:rPr>
        <w:t>J. Comput. Chem.</w:t>
      </w:r>
      <w:r>
        <w:rPr/>
        <w:t xml:space="preserve"> </w:t>
      </w:r>
      <w:r>
        <w:rPr>
          <w:b/>
          <w:bCs/>
        </w:rPr>
        <w:t>1995</w:t>
      </w:r>
      <w:r>
        <w:rPr/>
        <w:t xml:space="preserve">, </w:t>
      </w:r>
      <w:r>
        <w:rPr>
          <w:i/>
          <w:iCs/>
        </w:rPr>
        <w:t>16</w:t>
      </w:r>
      <w:r>
        <w:rPr/>
        <w:t xml:space="preserve"> (12), 1522–1542. https://doi.org/10.1002/jcc.540161209.</w:t>
      </w:r>
    </w:p>
    <w:p>
      <w:pPr>
        <w:pStyle w:val="Normal"/>
        <w:widowControl w:val="false"/>
        <w:tabs>
          <w:tab w:val="left" w:pos="851" w:leader="none"/>
          <w:tab w:val="left" w:pos="1134" w:leader="none"/>
        </w:tabs>
        <w:spacing w:before="120" w:after="120"/>
        <w:ind w:left="567" w:hanging="0"/>
        <w:rPr/>
      </w:pPr>
      <w:r>
        <w:rPr/>
        <w:t xml:space="preserve">(36) </w:t>
        <w:tab/>
        <w:t xml:space="preserve">Monzon, A. M.; Zea, D. J.; Fornasari, M. S.; Saldaño, T. E.; Fernandez-Alberti, S.; Tosatto, S. C. E.; Parisi, G. Conformational Diversity Analysis Reveals Three Functional Mechanisms in Proteins. </w:t>
      </w:r>
      <w:r>
        <w:rPr>
          <w:i/>
          <w:iCs/>
        </w:rPr>
        <w:t>PLoS Comput. Biol.</w:t>
      </w:r>
      <w:r>
        <w:rPr/>
        <w:t xml:space="preserve"> </w:t>
      </w:r>
      <w:r>
        <w:rPr>
          <w:b/>
          <w:bCs/>
        </w:rPr>
        <w:t>2017</w:t>
      </w:r>
      <w:r>
        <w:rPr/>
        <w:t xml:space="preserve">, </w:t>
      </w:r>
      <w:r>
        <w:rPr>
          <w:i/>
          <w:iCs/>
        </w:rPr>
        <w:t>13</w:t>
      </w:r>
      <w:r>
        <w:rPr/>
        <w:t xml:space="preserve"> (2). https://doi.org/10.1371/journal.pcbi.1005398.</w:t>
      </w:r>
    </w:p>
    <w:p>
      <w:pPr>
        <w:pStyle w:val="Normal"/>
        <w:widowControl w:val="false"/>
        <w:tabs>
          <w:tab w:val="left" w:pos="851" w:leader="none"/>
          <w:tab w:val="left" w:pos="1134" w:leader="none"/>
        </w:tabs>
        <w:spacing w:before="120" w:after="120"/>
        <w:ind w:left="567" w:hanging="0"/>
        <w:rPr/>
      </w:pPr>
      <w:r>
        <w:rPr/>
        <w:t xml:space="preserve">(37) </w:t>
        <w:tab/>
        <w:t xml:space="preserve">Chen, Z.; Qiao, Y.; Klimtchuk, E.; Hamilton, J. A.; Cai, J.; Lu, C. Solution Structure and Backbone Dynamics of Human Liver Fatty Acid Binding Protein : Fatty Acid Binding Revisited. </w:t>
      </w:r>
      <w:r>
        <w:rPr>
          <w:i/>
          <w:iCs/>
        </w:rPr>
        <w:t>Biophys. J</w:t>
      </w:r>
      <w:r>
        <w:rPr/>
        <w:t xml:space="preserve"> </w:t>
      </w:r>
      <w:r>
        <w:rPr>
          <w:b/>
          <w:bCs/>
        </w:rPr>
        <w:t>2012</w:t>
      </w:r>
      <w:r>
        <w:rPr/>
        <w:t xml:space="preserve">, </w:t>
      </w:r>
      <w:r>
        <w:rPr>
          <w:i/>
          <w:iCs/>
        </w:rPr>
        <w:t>102</w:t>
      </w:r>
      <w:r>
        <w:rPr/>
        <w:t xml:space="preserve"> (June), 2585–2594. https://doi.org/10.1016/j.bpj.2012.04.039.</w:t>
      </w:r>
    </w:p>
    <w:p>
      <w:pPr>
        <w:pStyle w:val="Normal"/>
        <w:widowControl w:val="false"/>
        <w:tabs>
          <w:tab w:val="left" w:pos="851" w:leader="none"/>
          <w:tab w:val="left" w:pos="1134" w:leader="none"/>
        </w:tabs>
        <w:spacing w:before="120" w:after="120"/>
        <w:ind w:left="567" w:hanging="0"/>
        <w:rPr/>
      </w:pPr>
      <w:r>
        <w:rPr/>
        <w:t xml:space="preserve">(38) </w:t>
        <w:tab/>
        <w:t xml:space="preserve">Hodsdon, M. E.; Cistola, D. P. Ligand Binding Alters the Backbone Mobility of Intestinal Fatty Acid-Binding Protein as Monitored by 15 N NMR Relaxation and 1 H Exchange †. </w:t>
      </w:r>
      <w:r>
        <w:rPr>
          <w:i/>
          <w:iCs/>
        </w:rPr>
        <w:t>Biochemistry</w:t>
      </w:r>
      <w:r>
        <w:rPr/>
        <w:t xml:space="preserve"> </w:t>
      </w:r>
      <w:r>
        <w:rPr>
          <w:b/>
          <w:bCs/>
        </w:rPr>
        <w:t>1997</w:t>
      </w:r>
      <w:r>
        <w:rPr/>
        <w:t xml:space="preserve">, </w:t>
      </w:r>
      <w:r>
        <w:rPr>
          <w:i/>
          <w:iCs/>
        </w:rPr>
        <w:t>2960</w:t>
      </w:r>
      <w:r>
        <w:rPr/>
        <w:t xml:space="preserve"> (96), 2278–2290.</w:t>
      </w:r>
    </w:p>
    <w:p>
      <w:pPr>
        <w:pStyle w:val="Normal"/>
        <w:widowControl w:val="false"/>
        <w:tabs>
          <w:tab w:val="left" w:pos="851" w:leader="none"/>
          <w:tab w:val="left" w:pos="1134" w:leader="none"/>
        </w:tabs>
        <w:spacing w:before="120" w:after="120"/>
        <w:ind w:left="567" w:hanging="0"/>
        <w:rPr/>
      </w:pPr>
      <w:r>
        <w:rPr/>
      </w:r>
      <w:r>
        <w:br w:type="page"/>
      </w:r>
    </w:p>
    <w:p>
      <w:pPr>
        <w:pStyle w:val="Normal"/>
        <w:widowControl w:val="false"/>
        <w:tabs>
          <w:tab w:val="left" w:pos="851" w:leader="none"/>
          <w:tab w:val="left" w:pos="1134" w:leader="none"/>
        </w:tabs>
        <w:spacing w:before="120" w:after="120"/>
        <w:ind w:left="567" w:hanging="0"/>
        <w:rPr>
          <w:b/>
          <w:b/>
          <w:bCs/>
        </w:rPr>
      </w:pPr>
      <w:r>
        <w:rPr>
          <w:rFonts w:cs="Arial" w:ascii="Arial" w:hAnsi="Arial"/>
          <w:b/>
          <w:bCs/>
          <w:color w:val="000000"/>
          <w:sz w:val="20"/>
          <w:szCs w:val="20"/>
        </w:rPr>
        <w:t>Figures</w:t>
      </w:r>
    </w:p>
    <w:p>
      <w:pPr>
        <w:pStyle w:val="Normal"/>
        <w:widowControl w:val="false"/>
        <w:tabs>
          <w:tab w:val="left" w:pos="851" w:leader="none"/>
          <w:tab w:val="left" w:pos="1134" w:leader="none"/>
        </w:tabs>
        <w:spacing w:before="120" w:after="120"/>
        <w:ind w:left="567" w:hanging="0"/>
        <w:rPr>
          <w:b/>
          <w:b/>
          <w:bCs/>
        </w:rPr>
      </w:pPr>
      <w:r>
        <w:rPr>
          <w:rFonts w:cs="Arial" w:ascii="Arial" w:hAnsi="Arial"/>
          <w:b/>
          <w:bCs/>
          <w:color w:val="000000"/>
          <w:sz w:val="20"/>
          <w:szCs w:val="20"/>
        </w:rPr>
        <w:t>1</w:t>
      </w:r>
    </w:p>
    <w:p>
      <w:pPr>
        <w:pStyle w:val="Normal"/>
        <w:widowControl w:val="false"/>
        <w:tabs>
          <w:tab w:val="left" w:pos="851" w:leader="none"/>
          <w:tab w:val="left" w:pos="1134" w:leader="none"/>
        </w:tabs>
        <w:spacing w:before="120" w:after="120"/>
        <w:ind w:left="567" w:hanging="0"/>
        <w:rPr>
          <w:rFonts w:ascii="Arial" w:hAnsi="Arial" w:cs="Arial"/>
          <w:color w:val="000000"/>
          <w:sz w:val="20"/>
          <w:szCs w:val="20"/>
        </w:rPr>
      </w:pPr>
      <w:r>
        <w:rPr>
          <w:b/>
          <w:bCs/>
        </w:rPr>
      </w:r>
    </w:p>
    <w:p>
      <w:pPr>
        <w:pStyle w:val="Normal"/>
        <w:widowControl w:val="false"/>
        <w:tabs>
          <w:tab w:val="left" w:pos="851" w:leader="none"/>
          <w:tab w:val="left" w:pos="1134" w:leader="none"/>
        </w:tabs>
        <w:spacing w:before="120" w:after="120"/>
        <w:ind w:left="567" w:hanging="0"/>
        <w:rPr>
          <w:b/>
          <w:b/>
          <w:bCs/>
        </w:rPr>
      </w:pPr>
      <w:r>
        <w:rPr>
          <w:rFonts w:cs="Arial" w:ascii="Arial" w:hAnsi="Arial"/>
          <w:b/>
          <w:bCs/>
          <w:color w:val="000000"/>
          <w:sz w:val="20"/>
          <w:szCs w:val="20"/>
        </w:rPr>
        <w:drawing>
          <wp:inline distT="0" distB="0" distL="0" distR="0">
            <wp:extent cx="5882005" cy="23101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882005" cy="2310130"/>
                    </a:xfrm>
                    <a:prstGeom prst="rect">
                      <a:avLst/>
                    </a:prstGeom>
                  </pic:spPr>
                </pic:pic>
              </a:graphicData>
            </a:graphic>
          </wp:inline>
        </w:drawing>
      </w:r>
    </w:p>
    <w:p>
      <w:pPr>
        <w:pStyle w:val="Normal"/>
        <w:widowControl w:val="false"/>
        <w:tabs>
          <w:tab w:val="left" w:pos="851" w:leader="none"/>
          <w:tab w:val="left" w:pos="1134" w:leader="none"/>
        </w:tabs>
        <w:spacing w:before="120" w:after="120"/>
        <w:ind w:left="567" w:hanging="0"/>
        <w:rPr>
          <w:b/>
          <w:b/>
          <w:bCs/>
        </w:rPr>
      </w:pPr>
      <w:r>
        <w:rPr>
          <w:rFonts w:cs="Arial" w:ascii="Arial" w:hAnsi="Arial"/>
          <w:b/>
          <w:bCs/>
          <w:color w:val="000000"/>
          <w:sz w:val="20"/>
          <w:szCs w:val="20"/>
        </w:rPr>
        <w:drawing>
          <wp:inline distT="0" distB="0" distL="0" distR="0">
            <wp:extent cx="5882005" cy="231013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882005" cy="2310130"/>
                    </a:xfrm>
                    <a:prstGeom prst="rect">
                      <a:avLst/>
                    </a:prstGeom>
                  </pic:spPr>
                </pic:pic>
              </a:graphicData>
            </a:graphic>
          </wp:inline>
        </w:drawing>
      </w:r>
      <w:r>
        <w:br w:type="page"/>
      </w:r>
    </w:p>
    <w:p>
      <w:pPr>
        <w:pStyle w:val="Normal"/>
        <w:widowControl w:val="false"/>
        <w:tabs>
          <w:tab w:val="left" w:pos="851" w:leader="none"/>
          <w:tab w:val="left" w:pos="1134" w:leader="none"/>
        </w:tabs>
        <w:spacing w:before="120" w:after="120"/>
        <w:ind w:left="567" w:hanging="0"/>
        <w:rPr>
          <w:b/>
          <w:b/>
          <w:bCs/>
        </w:rPr>
      </w:pPr>
      <w:r>
        <w:rPr>
          <w:rFonts w:cs="Arial" w:ascii="Arial" w:hAnsi="Arial"/>
          <w:b/>
          <w:bCs/>
          <w:color w:val="000000"/>
          <w:sz w:val="20"/>
          <w:szCs w:val="20"/>
        </w:rPr>
        <w:t>2</w:t>
      </w:r>
    </w:p>
    <w:p>
      <w:pPr>
        <w:pStyle w:val="Normal"/>
        <w:widowControl w:val="false"/>
        <w:tabs>
          <w:tab w:val="left" w:pos="851" w:leader="none"/>
          <w:tab w:val="left" w:pos="1134" w:leader="none"/>
        </w:tabs>
        <w:spacing w:before="120" w:after="120"/>
        <w:ind w:left="567" w:hanging="0"/>
        <w:rPr>
          <w:b/>
          <w:b/>
          <w:bCs/>
        </w:rPr>
      </w:pPr>
      <w:r>
        <w:rPr>
          <w:rFonts w:cs="Arial" w:ascii="Arial" w:hAnsi="Arial"/>
          <w:b/>
          <w:bCs/>
          <w:color w:val="000000"/>
          <w:sz w:val="20"/>
          <w:szCs w:val="20"/>
        </w:rPr>
        <w:drawing>
          <wp:inline distT="0" distB="0" distL="0" distR="0">
            <wp:extent cx="5882005" cy="17970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882005" cy="1797050"/>
                    </a:xfrm>
                    <a:prstGeom prst="rect">
                      <a:avLst/>
                    </a:prstGeom>
                  </pic:spPr>
                </pic:pic>
              </a:graphicData>
            </a:graphic>
          </wp:inline>
        </w:drawing>
      </w:r>
    </w:p>
    <w:p>
      <w:pPr>
        <w:pStyle w:val="Normal"/>
        <w:widowControl w:val="false"/>
        <w:tabs>
          <w:tab w:val="left" w:pos="851" w:leader="none"/>
          <w:tab w:val="left" w:pos="1134" w:leader="none"/>
        </w:tabs>
        <w:spacing w:before="120" w:after="120"/>
        <w:ind w:left="567" w:hanging="0"/>
        <w:rPr>
          <w:b/>
          <w:b/>
          <w:bCs/>
        </w:rPr>
      </w:pPr>
      <w:r>
        <w:rPr>
          <w:rFonts w:cs="Arial" w:ascii="Arial" w:hAnsi="Arial"/>
          <w:b/>
          <w:bCs/>
          <w:color w:val="000000"/>
          <w:sz w:val="20"/>
          <w:szCs w:val="20"/>
        </w:rPr>
        <w:drawing>
          <wp:inline distT="0" distB="0" distL="0" distR="0">
            <wp:extent cx="5882005" cy="17970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882005" cy="1797050"/>
                    </a:xfrm>
                    <a:prstGeom prst="rect">
                      <a:avLst/>
                    </a:prstGeom>
                  </pic:spPr>
                </pic:pic>
              </a:graphicData>
            </a:graphic>
          </wp:inline>
        </w:drawing>
      </w:r>
    </w:p>
    <w:p>
      <w:pPr>
        <w:pStyle w:val="Normal"/>
        <w:widowControl w:val="false"/>
        <w:tabs>
          <w:tab w:val="left" w:pos="851" w:leader="none"/>
          <w:tab w:val="left" w:pos="1134" w:leader="none"/>
        </w:tabs>
        <w:spacing w:before="120" w:after="120"/>
        <w:ind w:left="567" w:hanging="0"/>
        <w:rPr>
          <w:rFonts w:ascii="Arial" w:hAnsi="Arial" w:cs="Arial"/>
          <w:color w:val="000000"/>
          <w:sz w:val="20"/>
          <w:szCs w:val="20"/>
        </w:rPr>
      </w:pPr>
      <w:r>
        <w:rPr>
          <w:b/>
          <w:bCs/>
        </w:rPr>
      </w:r>
    </w:p>
    <w:p>
      <w:pPr>
        <w:pStyle w:val="Normal"/>
        <w:widowControl w:val="false"/>
        <w:tabs>
          <w:tab w:val="left" w:pos="851" w:leader="none"/>
          <w:tab w:val="left" w:pos="1134" w:leader="none"/>
        </w:tabs>
        <w:spacing w:before="120" w:after="120"/>
        <w:ind w:left="567" w:hanging="0"/>
        <w:rPr>
          <w:rFonts w:ascii="Arial" w:hAnsi="Arial" w:cs="Arial"/>
          <w:color w:val="000000"/>
          <w:sz w:val="20"/>
          <w:szCs w:val="20"/>
        </w:rPr>
      </w:pPr>
      <w:r>
        <w:rPr>
          <w:b/>
          <w:bCs/>
        </w:rPr>
      </w:r>
      <w:r>
        <w:br w:type="page"/>
      </w:r>
    </w:p>
    <w:p>
      <w:pPr>
        <w:pStyle w:val="Normal"/>
        <w:widowControl w:val="false"/>
        <w:tabs>
          <w:tab w:val="left" w:pos="851" w:leader="none"/>
          <w:tab w:val="left" w:pos="1134" w:leader="none"/>
        </w:tabs>
        <w:spacing w:before="120" w:after="120"/>
        <w:ind w:left="567" w:hanging="0"/>
        <w:rPr>
          <w:rFonts w:ascii="Arial" w:hAnsi="Arial" w:cs="Arial"/>
          <w:color w:val="000000"/>
          <w:sz w:val="20"/>
          <w:szCs w:val="20"/>
        </w:rPr>
      </w:pPr>
      <w:r>
        <w:rPr>
          <w:b/>
          <w:bC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95925" cy="36671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95925" cy="3667125"/>
                    </a:xfrm>
                    <a:prstGeom prst="rect">
                      <a:avLst/>
                    </a:prstGeom>
                  </pic:spPr>
                </pic:pic>
              </a:graphicData>
            </a:graphic>
          </wp:anchor>
        </w:drawing>
      </w:r>
      <w:r>
        <w:br w:type="page"/>
      </w:r>
    </w:p>
    <w:p>
      <w:pPr>
        <w:pStyle w:val="Normal"/>
        <w:widowControl w:val="false"/>
        <w:tabs>
          <w:tab w:val="left" w:pos="851" w:leader="none"/>
          <w:tab w:val="left" w:pos="1134" w:leader="none"/>
        </w:tabs>
        <w:spacing w:before="120" w:after="120"/>
        <w:ind w:left="567" w:hanging="0"/>
        <w:rPr>
          <w:rFonts w:ascii="Arial" w:hAnsi="Arial" w:cs="Arial"/>
          <w:color w:val="000000"/>
          <w:sz w:val="20"/>
          <w:szCs w:val="20"/>
        </w:rPr>
      </w:pPr>
      <w:r>
        <w:rPr>
          <w:b/>
          <w:bCs/>
        </w:rPr>
      </w:r>
    </w:p>
    <w:p>
      <w:pPr>
        <w:pStyle w:val="Normal"/>
        <w:widowControl w:val="false"/>
        <w:tabs>
          <w:tab w:val="left" w:pos="851" w:leader="none"/>
          <w:tab w:val="left" w:pos="1134" w:leader="none"/>
        </w:tabs>
        <w:spacing w:before="120" w:after="120"/>
        <w:ind w:left="567" w:hanging="0"/>
        <w:rPr>
          <w:rFonts w:ascii="Arial" w:hAnsi="Arial" w:cs="Arial"/>
          <w:color w:val="000000"/>
          <w:sz w:val="20"/>
          <w:szCs w:val="20"/>
        </w:rPr>
      </w:pPr>
      <w:r>
        <w:rPr>
          <w:b/>
          <w:bCs/>
        </w:rPr>
      </w:r>
    </w:p>
    <w:sectPr>
      <w:type w:val="nextPage"/>
      <w:pgSz w:w="12240" w:h="15840"/>
      <w:pgMar w:left="709"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Minion Pro">
    <w:charset w:val="01"/>
    <w:family w:val="roman"/>
    <w:pitch w:val="variable"/>
  </w:font>
  <w:font w:name="Arial">
    <w:charset w:val="01"/>
    <w:family w:val="roman"/>
    <w:pitch w:val="variable"/>
  </w:font>
  <w:font w:name="Cambria Math">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uiPriority="10" w:semiHidden="0" w:unhideWhenUsed="0" w:qFormat="1"/>
    <w:lsdException w:name="Default Paragraph Font" w:uiPriority="1"/>
    <w:lsdException w:name="Subtitle" w:uiPriority="11" w:semiHidden="0" w:unhideWhenUsed="0" w:qFormat="1"/>
    <w:lsdException w:name="Body Text 2" w:uiPriority="0"/>
    <w:lsdException w:name="Strong" w:uiPriority="22" w:semiHidden="0" w:unhideWhenUsed="0" w:qFormat="1"/>
    <w:lsdException w:name="Emphasis" w:uiPriority="20" w:semiHidden="0" w:unhideWhenUsed="0" w:qFormat="1"/>
    <w:lsdException w:name="Table Grid" w:uiPriority="59"/>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63258"/>
    <w:pPr>
      <w:widowControl/>
      <w:bidi w:val="0"/>
      <w:spacing w:lineRule="auto" w:line="240" w:before="0" w:after="0"/>
      <w:jc w:val="left"/>
    </w:pPr>
    <w:rPr>
      <w:rFonts w:ascii="Times New Roman" w:hAnsi="Times New Roman" w:eastAsia="Times New Roman" w:cs="Times New Roman"/>
      <w:color w:val="auto"/>
      <w:kern w:val="0"/>
      <w:sz w:val="24"/>
      <w:szCs w:val="24"/>
      <w:lang w:eastAsia="es-AR" w:val="en-US" w:bidi="ar-SA"/>
    </w:rPr>
  </w:style>
  <w:style w:type="paragraph" w:styleId="Heading2">
    <w:name w:val="Heading 2"/>
    <w:basedOn w:val="Normal"/>
    <w:next w:val="Normal"/>
    <w:link w:val="Ttulo2Car"/>
    <w:autoRedefine/>
    <w:qFormat/>
    <w:rsid w:val="001d5be6"/>
    <w:pPr>
      <w:keepNext w:val="true"/>
      <w:spacing w:lineRule="auto" w:line="480" w:before="120" w:after="120"/>
      <w:ind w:left="567" w:hanging="0"/>
      <w:jc w:val="both"/>
      <w:outlineLvl w:val="1"/>
    </w:pPr>
    <w:rPr>
      <w:b/>
      <w:bCs/>
      <w:color w:val="000000"/>
      <w:lang w:eastAsia="en-US"/>
    </w:rPr>
  </w:style>
  <w:style w:type="paragraph" w:styleId="Heading3">
    <w:name w:val="Heading 3"/>
    <w:basedOn w:val="Normal"/>
    <w:next w:val="Normal"/>
    <w:link w:val="Ttulo3Car"/>
    <w:uiPriority w:val="9"/>
    <w:semiHidden/>
    <w:unhideWhenUsed/>
    <w:qFormat/>
    <w:rsid w:val="00e63258"/>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Ttulo4Car"/>
    <w:uiPriority w:val="9"/>
    <w:semiHidden/>
    <w:unhideWhenUsed/>
    <w:qFormat/>
    <w:rsid w:val="00d93084"/>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Textoindependiente2Car" w:customStyle="1">
    <w:name w:val="Texto independiente 2 Car"/>
    <w:basedOn w:val="DefaultParagraphFont"/>
    <w:link w:val="Textoindependiente2"/>
    <w:qFormat/>
    <w:rsid w:val="00e63258"/>
    <w:rPr>
      <w:rFonts w:ascii="Times New Roman" w:hAnsi="Times New Roman" w:eastAsia="Times New Roman" w:cs="Times New Roman"/>
      <w:b/>
      <w:bCs/>
      <w:sz w:val="28"/>
      <w:szCs w:val="20"/>
      <w:lang w:val="es-ES_tradnl"/>
    </w:rPr>
  </w:style>
  <w:style w:type="character" w:styleId="TextonotaalfinalCar" w:customStyle="1">
    <w:name w:val="Texto nota al final Car"/>
    <w:basedOn w:val="DefaultParagraphFont"/>
    <w:link w:val="Textonotaalfinal"/>
    <w:semiHidden/>
    <w:qFormat/>
    <w:rsid w:val="00e63258"/>
    <w:rPr>
      <w:rFonts w:ascii="Times New Roman" w:hAnsi="Times New Roman" w:eastAsia="Times New Roman" w:cs="Times New Roman"/>
      <w:sz w:val="20"/>
      <w:szCs w:val="20"/>
      <w:lang w:eastAsia="es-AR"/>
    </w:rPr>
  </w:style>
  <w:style w:type="character" w:styleId="Ttulo2Car" w:customStyle="1">
    <w:name w:val="Título 2 Car"/>
    <w:basedOn w:val="DefaultParagraphFont"/>
    <w:link w:val="Ttulo2"/>
    <w:qFormat/>
    <w:rsid w:val="001d5be6"/>
    <w:rPr>
      <w:rFonts w:ascii="Times New Roman" w:hAnsi="Times New Roman" w:eastAsia="Times New Roman" w:cs="Times New Roman"/>
      <w:b/>
      <w:bCs/>
      <w:color w:val="000000"/>
      <w:sz w:val="24"/>
      <w:szCs w:val="24"/>
    </w:rPr>
  </w:style>
  <w:style w:type="character" w:styleId="Ttulo3Car" w:customStyle="1">
    <w:name w:val="Título 3 Car"/>
    <w:basedOn w:val="DefaultParagraphFont"/>
    <w:link w:val="Ttulo3"/>
    <w:uiPriority w:val="9"/>
    <w:semiHidden/>
    <w:qFormat/>
    <w:rsid w:val="00e63258"/>
    <w:rPr>
      <w:rFonts w:ascii="Cambria" w:hAnsi="Cambria" w:eastAsia="" w:cs="" w:asciiTheme="majorHAnsi" w:cstheme="majorBidi" w:eastAsiaTheme="majorEastAsia" w:hAnsiTheme="majorHAnsi"/>
      <w:b/>
      <w:bCs/>
      <w:color w:val="4F81BD" w:themeColor="accent1"/>
      <w:sz w:val="24"/>
      <w:szCs w:val="24"/>
      <w:lang w:eastAsia="es-AR"/>
    </w:rPr>
  </w:style>
  <w:style w:type="character" w:styleId="TextodegloboCar" w:customStyle="1">
    <w:name w:val="Texto de globo Car"/>
    <w:basedOn w:val="DefaultParagraphFont"/>
    <w:link w:val="Textodeglobo"/>
    <w:uiPriority w:val="99"/>
    <w:semiHidden/>
    <w:qFormat/>
    <w:rsid w:val="00994fe5"/>
    <w:rPr>
      <w:rFonts w:ascii="Tahoma" w:hAnsi="Tahoma" w:eastAsia="Times New Roman" w:cs="Tahoma"/>
      <w:sz w:val="16"/>
      <w:szCs w:val="16"/>
      <w:lang w:eastAsia="es-AR"/>
    </w:rPr>
  </w:style>
  <w:style w:type="character" w:styleId="PlaceholderText">
    <w:name w:val="Placeholder Text"/>
    <w:basedOn w:val="DefaultParagraphFont"/>
    <w:uiPriority w:val="99"/>
    <w:semiHidden/>
    <w:qFormat/>
    <w:rsid w:val="00c8371b"/>
    <w:rPr>
      <w:color w:val="808080"/>
    </w:rPr>
  </w:style>
  <w:style w:type="character" w:styleId="A5" w:customStyle="1">
    <w:name w:val="A5"/>
    <w:uiPriority w:val="99"/>
    <w:qFormat/>
    <w:rsid w:val="003400f9"/>
    <w:rPr>
      <w:rFonts w:cs="Minion Pro"/>
      <w:color w:val="000000"/>
      <w:sz w:val="11"/>
      <w:szCs w:val="11"/>
    </w:rPr>
  </w:style>
  <w:style w:type="character" w:styleId="Appleconvertedspace" w:customStyle="1">
    <w:name w:val="apple-converted-space"/>
    <w:basedOn w:val="DefaultParagraphFont"/>
    <w:qFormat/>
    <w:rsid w:val="004b299a"/>
    <w:rPr/>
  </w:style>
  <w:style w:type="character" w:styleId="EncabezadoCar" w:customStyle="1">
    <w:name w:val="Encabezado Car"/>
    <w:basedOn w:val="DefaultParagraphFont"/>
    <w:link w:val="Encabezado"/>
    <w:uiPriority w:val="99"/>
    <w:qFormat/>
    <w:rsid w:val="00051f41"/>
    <w:rPr>
      <w:rFonts w:ascii="Times New Roman" w:hAnsi="Times New Roman" w:eastAsia="Times New Roman" w:cs="Times New Roman"/>
      <w:sz w:val="24"/>
      <w:szCs w:val="24"/>
      <w:lang w:eastAsia="es-AR"/>
    </w:rPr>
  </w:style>
  <w:style w:type="character" w:styleId="PiedepginaCar" w:customStyle="1">
    <w:name w:val="Pie de página Car"/>
    <w:basedOn w:val="DefaultParagraphFont"/>
    <w:link w:val="Piedepgina"/>
    <w:uiPriority w:val="99"/>
    <w:qFormat/>
    <w:rsid w:val="00051f41"/>
    <w:rPr>
      <w:rFonts w:ascii="Times New Roman" w:hAnsi="Times New Roman" w:eastAsia="Times New Roman" w:cs="Times New Roman"/>
      <w:sz w:val="24"/>
      <w:szCs w:val="24"/>
      <w:lang w:eastAsia="es-AR"/>
    </w:rPr>
  </w:style>
  <w:style w:type="character" w:styleId="InternetLink">
    <w:name w:val="Internet Link"/>
    <w:basedOn w:val="DefaultParagraphFont"/>
    <w:uiPriority w:val="99"/>
    <w:semiHidden/>
    <w:unhideWhenUsed/>
    <w:rsid w:val="00b83e1f"/>
    <w:rPr>
      <w:color w:val="0000FF"/>
      <w:u w:val="single"/>
    </w:rPr>
  </w:style>
  <w:style w:type="character" w:styleId="Annotationreference">
    <w:name w:val="annotation reference"/>
    <w:basedOn w:val="DefaultParagraphFont"/>
    <w:uiPriority w:val="99"/>
    <w:semiHidden/>
    <w:unhideWhenUsed/>
    <w:qFormat/>
    <w:rsid w:val="007670f3"/>
    <w:rPr>
      <w:sz w:val="16"/>
      <w:szCs w:val="16"/>
    </w:rPr>
  </w:style>
  <w:style w:type="character" w:styleId="TextocomentarioCar" w:customStyle="1">
    <w:name w:val="Texto comentario Car"/>
    <w:basedOn w:val="DefaultParagraphFont"/>
    <w:link w:val="Textocomentario"/>
    <w:uiPriority w:val="99"/>
    <w:semiHidden/>
    <w:qFormat/>
    <w:rsid w:val="007670f3"/>
    <w:rPr>
      <w:rFonts w:ascii="Times New Roman" w:hAnsi="Times New Roman" w:eastAsia="Times New Roman" w:cs="Times New Roman"/>
      <w:sz w:val="20"/>
      <w:szCs w:val="20"/>
      <w:lang w:eastAsia="es-AR"/>
    </w:rPr>
  </w:style>
  <w:style w:type="character" w:styleId="AsuntodelcomentarioCar" w:customStyle="1">
    <w:name w:val="Asunto del comentario Car"/>
    <w:basedOn w:val="TextocomentarioCar"/>
    <w:link w:val="Asuntodelcomentario"/>
    <w:uiPriority w:val="99"/>
    <w:semiHidden/>
    <w:qFormat/>
    <w:rsid w:val="007670f3"/>
    <w:rPr>
      <w:rFonts w:ascii="Times New Roman" w:hAnsi="Times New Roman" w:eastAsia="Times New Roman" w:cs="Times New Roman"/>
      <w:b/>
      <w:bCs/>
      <w:sz w:val="20"/>
      <w:szCs w:val="20"/>
      <w:lang w:eastAsia="es-AR"/>
    </w:rPr>
  </w:style>
  <w:style w:type="character" w:styleId="Ttulo4Car" w:customStyle="1">
    <w:name w:val="Título 4 Car"/>
    <w:basedOn w:val="DefaultParagraphFont"/>
    <w:link w:val="Ttulo4"/>
    <w:uiPriority w:val="9"/>
    <w:semiHidden/>
    <w:qFormat/>
    <w:rsid w:val="00d93084"/>
    <w:rPr>
      <w:rFonts w:ascii="Cambria" w:hAnsi="Cambria" w:eastAsia="" w:cs="" w:asciiTheme="majorHAnsi" w:cstheme="majorBidi" w:eastAsiaTheme="majorEastAsia" w:hAnsiTheme="majorHAnsi"/>
      <w:b/>
      <w:bCs/>
      <w:i/>
      <w:iCs/>
      <w:color w:val="4F81BD" w:themeColor="accent1"/>
      <w:sz w:val="24"/>
      <w:szCs w:val="24"/>
      <w:lang w:eastAsia="es-AR"/>
    </w:rPr>
  </w:style>
  <w:style w:type="character" w:styleId="ListLabel1">
    <w:name w:val="ListLabel 1"/>
    <w:qFormat/>
    <w:rPr>
      <w:b w:val="false"/>
      <w:i/>
      <w:color w:val="auto"/>
    </w:rPr>
  </w:style>
  <w:style w:type="paragraph" w:styleId="Heading">
    <w:name w:val="Heading"/>
    <w:basedOn w:val="Normal"/>
    <w:next w:val="TextBody"/>
    <w:qFormat/>
    <w:pPr>
      <w:keepNext w:val="true"/>
      <w:spacing w:before="240" w:after="120"/>
    </w:pPr>
    <w:rPr>
      <w:rFonts w:ascii="Liberation Sans" w:hAnsi="Liberation Sans" w:eastAsia="Noto Sans CJK SC Regular"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BodyText2">
    <w:name w:val="Body Text 2"/>
    <w:basedOn w:val="Normal"/>
    <w:link w:val="Textoindependiente2Car"/>
    <w:qFormat/>
    <w:rsid w:val="00e63258"/>
    <w:pPr>
      <w:spacing w:before="0" w:after="120"/>
      <w:jc w:val="center"/>
    </w:pPr>
    <w:rPr>
      <w:b/>
      <w:bCs/>
      <w:sz w:val="28"/>
      <w:szCs w:val="20"/>
      <w:lang w:val="es-ES_tradnl" w:eastAsia="en-US"/>
    </w:rPr>
  </w:style>
  <w:style w:type="paragraph" w:styleId="Endnote">
    <w:name w:val="Endnote Text"/>
    <w:basedOn w:val="Normal"/>
    <w:link w:val="TextonotaalfinalCar"/>
    <w:semiHidden/>
    <w:rsid w:val="00e63258"/>
    <w:pPr/>
    <w:rPr>
      <w:sz w:val="20"/>
      <w:szCs w:val="20"/>
    </w:rPr>
  </w:style>
  <w:style w:type="paragraph" w:styleId="NormalWeb">
    <w:name w:val="Normal (Web)"/>
    <w:basedOn w:val="Normal"/>
    <w:uiPriority w:val="99"/>
    <w:unhideWhenUsed/>
    <w:qFormat/>
    <w:rsid w:val="00f462c1"/>
    <w:pPr>
      <w:spacing w:beforeAutospacing="1" w:afterAutospacing="1"/>
    </w:pPr>
    <w:rPr>
      <w:rFonts w:eastAsia="" w:eastAsiaTheme="minorEastAsia"/>
      <w:lang w:eastAsia="en-US"/>
    </w:rPr>
  </w:style>
  <w:style w:type="paragraph" w:styleId="ListParagraph">
    <w:name w:val="List Paragraph"/>
    <w:basedOn w:val="Normal"/>
    <w:uiPriority w:val="34"/>
    <w:qFormat/>
    <w:rsid w:val="00fb5158"/>
    <w:pPr>
      <w:spacing w:before="0" w:after="0"/>
      <w:ind w:left="720" w:hanging="0"/>
      <w:contextualSpacing/>
    </w:pPr>
    <w:rPr/>
  </w:style>
  <w:style w:type="paragraph" w:styleId="NoSpacing">
    <w:name w:val="No Spacing"/>
    <w:uiPriority w:val="1"/>
    <w:qFormat/>
    <w:rsid w:val="00681f36"/>
    <w:pPr>
      <w:widowControl/>
      <w:bidi w:val="0"/>
      <w:spacing w:lineRule="auto" w:line="240" w:before="0" w:after="0"/>
      <w:jc w:val="left"/>
    </w:pPr>
    <w:rPr>
      <w:rFonts w:ascii="Times New Roman" w:hAnsi="Times New Roman" w:eastAsia="Times New Roman" w:cs="Times New Roman"/>
      <w:color w:val="auto"/>
      <w:kern w:val="0"/>
      <w:sz w:val="24"/>
      <w:szCs w:val="24"/>
      <w:lang w:eastAsia="es-AR" w:val="en-US" w:bidi="ar-SA"/>
    </w:rPr>
  </w:style>
  <w:style w:type="paragraph" w:styleId="BalloonText">
    <w:name w:val="Balloon Text"/>
    <w:basedOn w:val="Normal"/>
    <w:link w:val="TextodegloboCar"/>
    <w:uiPriority w:val="99"/>
    <w:semiHidden/>
    <w:unhideWhenUsed/>
    <w:qFormat/>
    <w:rsid w:val="00994fe5"/>
    <w:pPr/>
    <w:rPr>
      <w:rFonts w:ascii="Tahoma" w:hAnsi="Tahoma" w:cs="Tahoma"/>
      <w:sz w:val="16"/>
      <w:szCs w:val="16"/>
    </w:rPr>
  </w:style>
  <w:style w:type="paragraph" w:styleId="Default" w:customStyle="1">
    <w:name w:val="Default"/>
    <w:qFormat/>
    <w:rsid w:val="005664f1"/>
    <w:pPr>
      <w:widowControl/>
      <w:bidi w:val="0"/>
      <w:spacing w:lineRule="auto" w:line="240" w:before="0" w:after="0"/>
      <w:jc w:val="left"/>
    </w:pPr>
    <w:rPr>
      <w:rFonts w:ascii="Minion Pro" w:hAnsi="Minion Pro" w:cs="Minion Pro" w:eastAsia="Calibri"/>
      <w:color w:val="000000"/>
      <w:kern w:val="0"/>
      <w:sz w:val="24"/>
      <w:szCs w:val="24"/>
      <w:lang w:val="en-US" w:eastAsia="en-US" w:bidi="ar-SA"/>
    </w:rPr>
  </w:style>
  <w:style w:type="paragraph" w:styleId="Pa3" w:customStyle="1">
    <w:name w:val="Pa3"/>
    <w:basedOn w:val="Default"/>
    <w:next w:val="Default"/>
    <w:uiPriority w:val="99"/>
    <w:qFormat/>
    <w:rsid w:val="00b11473"/>
    <w:pPr>
      <w:spacing w:lineRule="atLeast" w:line="187"/>
    </w:pPr>
    <w:rPr>
      <w:rFonts w:cs="" w:cstheme="minorBidi"/>
      <w:color w:val="auto"/>
    </w:rPr>
  </w:style>
  <w:style w:type="paragraph" w:styleId="05BodyText" w:customStyle="1">
    <w:name w:val="05 BodyText"/>
    <w:basedOn w:val="Normal"/>
    <w:qFormat/>
    <w:rsid w:val="000b627a"/>
    <w:pPr>
      <w:spacing w:lineRule="auto" w:line="480" w:before="0" w:after="200"/>
      <w:ind w:firstLine="576"/>
    </w:pPr>
    <w:rPr>
      <w:rFonts w:ascii="Arial" w:hAnsi="Arial" w:eastAsia="Calibri" w:cs="" w:cstheme="minorBidi" w:eastAsiaTheme="minorHAnsi"/>
      <w:sz w:val="22"/>
      <w:szCs w:val="22"/>
      <w:lang w:eastAsia="en-US"/>
    </w:rPr>
  </w:style>
  <w:style w:type="paragraph" w:styleId="Standard" w:customStyle="1">
    <w:name w:val="Standard"/>
    <w:qFormat/>
    <w:rsid w:val="001f358a"/>
    <w:pPr>
      <w:widowControl w:val="false"/>
      <w:suppressAutoHyphens w:val="true"/>
      <w:bidi w:val="0"/>
      <w:spacing w:lineRule="auto" w:line="240" w:before="0" w:after="0"/>
      <w:jc w:val="left"/>
      <w:textAlignment w:val="baseline"/>
    </w:pPr>
    <w:rPr>
      <w:rFonts w:ascii="Liberation Serif" w:hAnsi="Liberation Serif" w:eastAsia="Droid Sans Fallback" w:cs="FreeSans"/>
      <w:color w:val="auto"/>
      <w:kern w:val="2"/>
      <w:sz w:val="24"/>
      <w:szCs w:val="24"/>
      <w:lang w:val="es-AR" w:eastAsia="zh-CN" w:bidi="hi-IN"/>
    </w:rPr>
  </w:style>
  <w:style w:type="paragraph" w:styleId="Header">
    <w:name w:val="Header"/>
    <w:basedOn w:val="Normal"/>
    <w:link w:val="EncabezadoCar"/>
    <w:uiPriority w:val="99"/>
    <w:unhideWhenUsed/>
    <w:rsid w:val="00051f41"/>
    <w:pPr>
      <w:tabs>
        <w:tab w:val="center" w:pos="4419" w:leader="none"/>
        <w:tab w:val="right" w:pos="8838" w:leader="none"/>
      </w:tabs>
    </w:pPr>
    <w:rPr/>
  </w:style>
  <w:style w:type="paragraph" w:styleId="Footer">
    <w:name w:val="Footer"/>
    <w:basedOn w:val="Normal"/>
    <w:link w:val="PiedepginaCar"/>
    <w:uiPriority w:val="99"/>
    <w:unhideWhenUsed/>
    <w:rsid w:val="00051f41"/>
    <w:pPr>
      <w:tabs>
        <w:tab w:val="center" w:pos="4419" w:leader="none"/>
        <w:tab w:val="right" w:pos="8838" w:leader="none"/>
      </w:tabs>
    </w:pPr>
    <w:rPr/>
  </w:style>
  <w:style w:type="paragraph" w:styleId="Annotationtext">
    <w:name w:val="annotation text"/>
    <w:basedOn w:val="Normal"/>
    <w:link w:val="TextocomentarioCar"/>
    <w:uiPriority w:val="99"/>
    <w:semiHidden/>
    <w:unhideWhenUsed/>
    <w:qFormat/>
    <w:rsid w:val="007670f3"/>
    <w:pPr/>
    <w:rPr>
      <w:sz w:val="20"/>
      <w:szCs w:val="20"/>
    </w:rPr>
  </w:style>
  <w:style w:type="paragraph" w:styleId="Annotationsubject">
    <w:name w:val="annotation subject"/>
    <w:basedOn w:val="Annotationtext"/>
    <w:link w:val="AsuntodelcomentarioCar"/>
    <w:uiPriority w:val="99"/>
    <w:semiHidden/>
    <w:unhideWhenUsed/>
    <w:qFormat/>
    <w:rsid w:val="007670f3"/>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3F8D7-BE70-44D7-BB24-B413565C8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12702</TotalTime>
  <Application>LibreOffice/6.0.7.3$Linux_X86_64 LibreOffice_project/00m0$Build-3</Application>
  <Pages>16</Pages>
  <Words>5092</Words>
  <Characters>28716</Characters>
  <CharactersWithSpaces>33684</CharactersWithSpaces>
  <Paragraphs>105</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2018-06-14T11:10:00Z</dcterms:created>
  <dc:creator>Sebastian Fernandez Alberti</dc:creator>
  <dc:description/>
  <dc:language>en-US</dc:language>
  <cp:lastModifiedBy/>
  <cp:lastPrinted>2018-06-09T12:50:00Z</cp:lastPrinted>
  <dcterms:modified xsi:type="dcterms:W3CDTF">2019-02-06T09:11:46Z</dcterms:modified>
  <cp:revision>166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http://www.zotero.org/styles/journal-of-chemical-information-and-modeling</vt:lpwstr>
  </property>
  <property fmtid="{D5CDD505-2E9C-101B-9397-08002B2CF9AE}" pid="8" name="Mendeley Document_1">
    <vt:lpwstr>True</vt:lpwstr>
  </property>
  <property fmtid="{D5CDD505-2E9C-101B-9397-08002B2CF9AE}" pid="9" name="Mendeley Recent Style Id 0_1">
    <vt:lpwstr>http://www.zotero.org/styles/american-medical-association</vt:lpwstr>
  </property>
  <property fmtid="{D5CDD505-2E9C-101B-9397-08002B2CF9AE}" pid="10" name="Mendeley Recent Style Id 1_1">
    <vt:lpwstr>http://www.zotero.org/styles/american-political-science-association</vt:lpwstr>
  </property>
  <property fmtid="{D5CDD505-2E9C-101B-9397-08002B2CF9AE}" pid="11" name="Mendeley Recent Style Id 2_1">
    <vt:lpwstr>http://www.zotero.org/styles/american-sociological-association</vt:lpwstr>
  </property>
  <property fmtid="{D5CDD505-2E9C-101B-9397-08002B2CF9AE}" pid="12" name="Mendeley Recent Style Id 3_1">
    <vt:lpwstr>http://www.zotero.org/styles/chicago-author-date</vt:lpwstr>
  </property>
  <property fmtid="{D5CDD505-2E9C-101B-9397-08002B2CF9AE}" pid="13" name="Mendeley Recent Style Id 4_1">
    <vt:lpwstr>http://www.zotero.org/styles/genes</vt:lpwstr>
  </property>
  <property fmtid="{D5CDD505-2E9C-101B-9397-08002B2CF9AE}" pid="14" name="Mendeley Recent Style Id 5_1">
    <vt:lpwstr>http://www.zotero.org/styles/journal-of-chemical-information-and-modeling</vt:lpwstr>
  </property>
  <property fmtid="{D5CDD505-2E9C-101B-9397-08002B2CF9AE}" pid="15" name="Mendeley Recent Style Id 6_1">
    <vt:lpwstr>http://www.zotero.org/styles/journal-of-chemical-theory-and-computation</vt:lpwstr>
  </property>
  <property fmtid="{D5CDD505-2E9C-101B-9397-08002B2CF9AE}" pid="16" name="Mendeley Recent Style Id 7_1">
    <vt:lpwstr>http://www.zotero.org/styles/journal-of-computational-chemistry</vt:lpwstr>
  </property>
  <property fmtid="{D5CDD505-2E9C-101B-9397-08002B2CF9AE}" pid="17" name="Mendeley Recent Style Id 8_1">
    <vt:lpwstr>http://www.zotero.org/styles/physical-chemistry-chemical-physics</vt:lpwstr>
  </property>
  <property fmtid="{D5CDD505-2E9C-101B-9397-08002B2CF9AE}" pid="18" name="Mendeley Recent Style Id 9_1">
    <vt:lpwstr>http://www.zotero.org/styles/the-journal-of-chemical-physics</vt:lpwstr>
  </property>
  <property fmtid="{D5CDD505-2E9C-101B-9397-08002B2CF9AE}" pid="19" name="Mendeley Recent Style Name 0_1">
    <vt:lpwstr>American Medical Association</vt:lpwstr>
  </property>
  <property fmtid="{D5CDD505-2E9C-101B-9397-08002B2CF9AE}" pid="20" name="Mendeley Recent Style Name 1_1">
    <vt:lpwstr>American Political Science Association</vt:lpwstr>
  </property>
  <property fmtid="{D5CDD505-2E9C-101B-9397-08002B2CF9AE}" pid="21" name="Mendeley Recent Style Name 2_1">
    <vt:lpwstr>American Sociological Association</vt:lpwstr>
  </property>
  <property fmtid="{D5CDD505-2E9C-101B-9397-08002B2CF9AE}" pid="22" name="Mendeley Recent Style Name 3_1">
    <vt:lpwstr>Chicago Manual of Style 16th edition (author-date)</vt:lpwstr>
  </property>
  <property fmtid="{D5CDD505-2E9C-101B-9397-08002B2CF9AE}" pid="23" name="Mendeley Recent Style Name 4_1">
    <vt:lpwstr>Genes</vt:lpwstr>
  </property>
  <property fmtid="{D5CDD505-2E9C-101B-9397-08002B2CF9AE}" pid="24" name="Mendeley Recent Style Name 5_1">
    <vt:lpwstr>Journal of Chemical Information and Modeling</vt:lpwstr>
  </property>
  <property fmtid="{D5CDD505-2E9C-101B-9397-08002B2CF9AE}" pid="25" name="Mendeley Recent Style Name 6_1">
    <vt:lpwstr>Journal of Chemical Theory and Computation</vt:lpwstr>
  </property>
  <property fmtid="{D5CDD505-2E9C-101B-9397-08002B2CF9AE}" pid="26" name="Mendeley Recent Style Name 7_1">
    <vt:lpwstr>Journal of Computational Chemistry</vt:lpwstr>
  </property>
  <property fmtid="{D5CDD505-2E9C-101B-9397-08002B2CF9AE}" pid="27" name="Mendeley Recent Style Name 8_1">
    <vt:lpwstr>Physical Chemistry Chemical Physics</vt:lpwstr>
  </property>
  <property fmtid="{D5CDD505-2E9C-101B-9397-08002B2CF9AE}" pid="28" name="Mendeley Recent Style Name 9_1">
    <vt:lpwstr>The Journal of Chemical Physics</vt:lpwstr>
  </property>
  <property fmtid="{D5CDD505-2E9C-101B-9397-08002B2CF9AE}" pid="29" name="Mendeley Unique User Id_1">
    <vt:lpwstr>4b8fb280-e990-39e9-bf9b-1ed00ed2e61c</vt:lpwstr>
  </property>
  <property fmtid="{D5CDD505-2E9C-101B-9397-08002B2CF9AE}" pid="30" name="ScaleCrop">
    <vt:bool>0</vt:bool>
  </property>
  <property fmtid="{D5CDD505-2E9C-101B-9397-08002B2CF9AE}" pid="31" name="ShareDoc">
    <vt:bool>0</vt:bool>
  </property>
</Properties>
</file>