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Cosmo Apparel provides an online shopping experience to users with designs that put emphasis on the cosmos and a color palette to match.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website contains a navigation bar that allows users to visit the Home page, Shop, FAQ, and About 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Hompage contains the website’s logo, a carousel of the different items for sale, and a button that redirects the user to the shop.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5348288" cy="276842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8288" cy="276842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shop, users may browse the products through either a grid view or a list view.</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573635" cy="1852774"/>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73635" cy="18527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605213" cy="1251124"/>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05213" cy="125112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choosing a design, the user will be asked to select the desired size of the shirt.</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376613" cy="329181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76613" cy="329181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Before buying, the user will be able to see the shirt’s design, description (“c” is used as a placeholder), size, price, and the remaining stock.</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2590800" cy="3247623"/>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90800" cy="324762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Users will then have to provide their name, contact details, address, and proof of payment which will be stored in the database.</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4436845" cy="162401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36845"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providing the necessary information, the user will be shown their purchase summary and will be given the option to return to the home page or to continue browsing the products.</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948113" cy="5852571"/>
            <wp:effectExtent b="0" l="0" r="0" t="0"/>
            <wp:docPr id="2"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3948113" cy="585257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Below, is the FAQ containing information on the shirt sizes and accepted mode of payment.</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5072063" cy="1731329"/>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72063" cy="173132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About page contains information about the website and a login option for the seller.</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4529138" cy="3135557"/>
            <wp:effectExtent b="0" l="0" r="0" t="0"/>
            <wp:docPr id="1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4529138" cy="313555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inputting the correct password (“itsme”) and logging in, the user will be able to register a new product. The navigation bar will also contain new links, Sell and Logout.</w:t>
      </w:r>
      <w:r w:rsidDel="00000000" w:rsidR="00000000" w:rsidRPr="00000000">
        <w:drawing>
          <wp:anchor allowOverlap="1" behindDoc="0" distB="114300" distT="114300" distL="114300" distR="114300" hidden="0" layoutInCell="1" locked="0" relativeHeight="0" simplePos="0">
            <wp:simplePos x="0" y="0"/>
            <wp:positionH relativeFrom="column">
              <wp:posOffset>2071688</wp:posOffset>
            </wp:positionH>
            <wp:positionV relativeFrom="paragraph">
              <wp:posOffset>476250</wp:posOffset>
            </wp:positionV>
            <wp:extent cx="1838325" cy="269621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38325" cy="269621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2582649</wp:posOffset>
            </wp:positionV>
            <wp:extent cx="5943600" cy="35560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556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9.jp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