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Pr="00174BD0" w:rsidRDefault="00661534" w:rsidP="005A71DC">
      <w:pPr>
        <w:pStyle w:val="ab"/>
        <w:ind w:left="1571" w:firstLine="0"/>
        <w:rPr>
          <w:rFonts w:eastAsia="Times New Roman"/>
          <w:lang w:val="en-US"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lastRenderedPageBreak/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Default="00BC6155" w:rsidP="00BC6155"/>
    <w:p w:rsidR="00174BD0" w:rsidRPr="00BC6155" w:rsidRDefault="00174BD0" w:rsidP="00BC6155">
      <w:bookmarkStart w:id="17" w:name="_GoBack"/>
      <w:bookmarkEnd w:id="17"/>
    </w:p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5256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5257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5258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9" w:name="_Toc194485266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5276"/>
      <w:r w:rsidRPr="00250379">
        <w:rPr>
          <w:rStyle w:val="af2"/>
          <w:b/>
        </w:rPr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6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A96883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lastRenderedPageBreak/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A12" w:rsidRDefault="00F30A12" w:rsidP="00384DA0">
      <w:r>
        <w:separator/>
      </w:r>
    </w:p>
  </w:endnote>
  <w:endnote w:type="continuationSeparator" w:id="0">
    <w:p w:rsidR="00F30A12" w:rsidRDefault="00F30A12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A96883" w:rsidRDefault="00A96883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4BD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96883" w:rsidRDefault="00A96883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A12" w:rsidRDefault="00F30A12" w:rsidP="00384DA0">
      <w:r>
        <w:separator/>
      </w:r>
    </w:p>
  </w:footnote>
  <w:footnote w:type="continuationSeparator" w:id="0">
    <w:p w:rsidR="00F30A12" w:rsidRDefault="00F30A12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74BD0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94507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8004E"/>
    <w:rsid w:val="005A7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20196"/>
    <w:rsid w:val="00944FA2"/>
    <w:rsid w:val="00970B9F"/>
    <w:rsid w:val="009811D3"/>
    <w:rsid w:val="009C0715"/>
    <w:rsid w:val="009C3DCB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A72D8"/>
    <w:rsid w:val="00AB7E17"/>
    <w:rsid w:val="00AC0CF3"/>
    <w:rsid w:val="00AD4D9B"/>
    <w:rsid w:val="00AE6887"/>
    <w:rsid w:val="00AE7298"/>
    <w:rsid w:val="00B16997"/>
    <w:rsid w:val="00B700DD"/>
    <w:rsid w:val="00B841F1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0A12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8AD46-4034-465C-9685-983AF0E5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31</Pages>
  <Words>5068</Words>
  <Characters>28892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50</cp:revision>
  <dcterms:created xsi:type="dcterms:W3CDTF">2024-01-09T13:35:00Z</dcterms:created>
  <dcterms:modified xsi:type="dcterms:W3CDTF">2025-04-23T09:29:00Z</dcterms:modified>
</cp:coreProperties>
</file>