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96E65"/>
          <w:sz w:val="18"/>
          <w:szCs w:val="18"/>
        </w:rPr>
        <w:t xml:space="preserve">REPOSITORY REPORT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D1F35"/>
          <w:sz w:val="52"/>
          <w:szCs w:val="52"/>
        </w:rPr>
        <w:t xml:space="preserve">New Castle, Colorado</w:t>
      </w:r>
    </w:p>
    <w:p>
      <w:pPr>
        <w:spacing w:after="440"/>
      </w:pPr>
      <w:r>
        <w:rPr>
          <w:rFonts w:ascii="Calibri" w:cs="Calibri" w:eastAsia="Calibri" w:hAnsi="Calibri"/>
          <w:color w:val="5A6A7C"/>
          <w:sz w:val="22"/>
          <w:szCs w:val="22"/>
        </w:rPr>
        <w:t xml:space="preserve">Every piece of LIHTC, demographic, market, and policy data the COHO Analytics repository carries for New Castle (Garfield County · place GEOID 0853395).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96E65"/>
          <w:sz w:val="28"/>
          <w:szCs w:val="28"/>
        </w:rPr>
        <w:t xml:space="preserve">1.  Identity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7258"/>
      </w:tblGrid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Place name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Castle (town)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Place GEOID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0853395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Place type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Incorporated town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Containing county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Garfield County (FIPS 08045)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Region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Western Slope · Roaring Fork Valley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Centroid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39.577645, -107.526453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Census tract(s)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08045951902 (100% coverage)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Area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6,699,613 m² (≈6.7 km²)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QCT 2026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(no QCT tracts in Garfield County)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DDA 2026 (county-level)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 — Garfield County is a county-wide Non-Metro DDA (DDA_CODE: NCNTY08045N08045, DDA_TYPE: NM)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DDA 2026 (for New Castle)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 — by inheritance.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8"/>
      </w:tblGrid>
      <w:tr>
        <w:tc>
          <w:tcPr>
            <w:tcW w:type="dxa" w:w="10368"/>
            <w:tcBorders>
              <w:top w:val="single" w:color="0E8F5D" w:sz="8"/>
              <w:left w:val="single" w:color="0E8F5D" w:sz="8"/>
              <w:bottom w:val="single" w:color="0E8F5D" w:sz="8"/>
              <w:right w:val="single" w:color="0E8F5D" w:sz="8"/>
            </w:tcBorders>
            <w:shd w:fill="F0FB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 New Castle is DDA-eligible even though it isn't on the HUD list by name.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HUD designates DDAs at two scales: by ZIP code in metro areas (SDDA) and by entire county in non-metro areas (NM-DDA). There is no separate town-level designation. New Castle is non-metro, so the relevant designation is the county-level NM-DDA — and Garfield County IS on the 2026 NM-DDA list.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Any LIHTC project anywhere in Garfield County, including every parcel in New Castle, qualifies for the 30% basis boost under IRC §42(d)(5)(B).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a 9% deal with $10M eligible basis, the DDA boost lifts qualified basis to $13M. At ~$0.85 credit-price-to-equity over the 10-year credit period, that translates to roughly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$2.55M of additional equity </w:t>
      </w:r>
      <w:r>
        <w:rPr>
          <w:rFonts w:ascii="Calibri" w:cs="Calibri" w:eastAsia="Calibri" w:hAnsi="Calibri"/>
          <w:sz w:val="22"/>
          <w:szCs w:val="22"/>
        </w:rPr>
        <w:t xml:space="preserve">from the boost alone.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96E65"/>
          <w:sz w:val="28"/>
          <w:szCs w:val="28"/>
        </w:rPr>
        <w:t xml:space="preserve">2.  Demographics &amp; population</w:t>
      </w:r>
    </w:p>
    <w:p>
      <w:r>
        <w:rPr>
          <w:rFonts w:ascii="Calibri" w:cs="Calibri" w:eastAsia="Calibri" w:hAnsi="Calibri"/>
          <w:color w:val="5A6A7C"/>
          <w:sz w:val="18"/>
          <w:szCs w:val="18"/>
        </w:rPr>
        <w:t xml:space="preserve">Source: ACS 2024 · HNA ranking index.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7258"/>
      </w:tblGrid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Population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4,880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20-year projection (county proxy)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≈6,117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CO statewide percentile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68.5th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Median household income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$80,084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Total housing units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2,056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Owner-occupied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73.1% (1,510)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Renter-occupied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26.9% (546)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Vacancy rate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0.0%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Single-family detached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66.7%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Multifamily 5+ unit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20.6%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In-commuters (LEHD)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602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Out-commuters (LEHD)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2,277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Internal jobs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121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Out-commute ratio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83.3%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96E65"/>
          <w:sz w:val="28"/>
          <w:szCs w:val="28"/>
        </w:rPr>
        <w:t xml:space="preserve">3.  Housing market &amp; affordability</w:t>
      </w:r>
    </w:p>
    <w:p>
      <w:r>
        <w:rPr>
          <w:rFonts w:ascii="Calibri" w:cs="Calibri" w:eastAsia="Calibri" w:hAnsi="Calibri"/>
          <w:color w:val="5A6A7C"/>
          <w:sz w:val="18"/>
          <w:szCs w:val="18"/>
        </w:rPr>
        <w:t xml:space="preserve">Source: ACS 2024 · HUD MTSP FY2025 · CHAS 2018-2022.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7258"/>
      </w:tblGrid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Median gross rent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$1,393 / month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Median home value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$454,300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4-person AMI (HUD MTSP FY25)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$97,600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Affordable rent at 30% AMI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$732 / month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Affordable rent at 40% AMI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$976 / month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Overall cost-burdened households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70.2%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Owner cost-burdened (≥30% income)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31.2%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Need score (HNA composite)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72.4 (high)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D1F35"/>
          <w:sz w:val="22"/>
          <w:szCs w:val="22"/>
        </w:rPr>
        <w:t xml:space="preserve">Renter cost burden by AMI tier (CHAS)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6048"/>
      </w:tblGrid>
      <w:tr>
        <w:tc>
          <w:tcPr>
            <w:tcW w:type="dxa" w:w="432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096E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AMI band</w:t>
            </w:r>
          </w:p>
        </w:tc>
        <w:tc>
          <w:tcPr>
            <w:tcW w:type="dxa" w:w="604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096E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 cost-burdened</w:t>
            </w:r>
          </w:p>
        </w:tc>
      </w:tr>
      <w:tr>
        <w:tc>
          <w:tcPr>
            <w:tcW w:type="dxa" w:w="432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≤30% AMI</w:t>
            </w:r>
          </w:p>
        </w:tc>
        <w:tc>
          <w:tcPr>
            <w:tcW w:type="dxa" w:w="604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432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31–50% AMI</w:t>
            </w:r>
          </w:p>
        </w:tc>
        <w:tc>
          <w:tcPr>
            <w:tcW w:type="dxa" w:w="604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432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51–80% AMI</w:t>
            </w:r>
          </w:p>
        </w:tc>
        <w:tc>
          <w:tcPr>
            <w:tcW w:type="dxa" w:w="604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22%</w:t>
            </w:r>
          </w:p>
        </w:tc>
      </w:tr>
      <w:tr>
        <w:tc>
          <w:tcPr>
            <w:tcW w:type="dxa" w:w="432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81–100% AMI</w:t>
            </w:r>
          </w:p>
        </w:tc>
        <w:tc>
          <w:tcPr>
            <w:tcW w:type="dxa" w:w="604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432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&gt;100% AMI</w:t>
            </w:r>
          </w:p>
        </w:tc>
        <w:tc>
          <w:tcPr>
            <w:tcW w:type="dxa" w:w="604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0%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D1F35"/>
          <w:sz w:val="22"/>
          <w:szCs w:val="22"/>
        </w:rPr>
        <w:t xml:space="preserve">Units needed to close the affordability gap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6048"/>
      </w:tblGrid>
      <w:tr>
        <w:tc>
          <w:tcPr>
            <w:tcW w:type="dxa" w:w="432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096E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AMI tier</w:t>
            </w:r>
          </w:p>
        </w:tc>
        <w:tc>
          <w:tcPr>
            <w:tcW w:type="dxa" w:w="604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096E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Units needed</w:t>
            </w:r>
          </w:p>
        </w:tc>
      </w:tr>
      <w:tr>
        <w:tc>
          <w:tcPr>
            <w:tcW w:type="dxa" w:w="432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≤30% AMI</w:t>
            </w:r>
          </w:p>
        </w:tc>
        <w:tc>
          <w:tcPr>
            <w:tcW w:type="dxa" w:w="604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220</w:t>
            </w:r>
          </w:p>
        </w:tc>
      </w:tr>
      <w:tr>
        <w:tc>
          <w:tcPr>
            <w:tcW w:type="dxa" w:w="432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≤50% AMI</w:t>
            </w:r>
          </w:p>
        </w:tc>
        <w:tc>
          <w:tcPr>
            <w:tcW w:type="dxa" w:w="604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305</w:t>
            </w:r>
          </w:p>
        </w:tc>
      </w:tr>
      <w:tr>
        <w:tc>
          <w:tcPr>
            <w:tcW w:type="dxa" w:w="432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≤60% AMI</w:t>
            </w:r>
          </w:p>
        </w:tc>
        <w:tc>
          <w:tcPr>
            <w:tcW w:type="dxa" w:w="604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385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96E65"/>
          <w:sz w:val="28"/>
          <w:szCs w:val="28"/>
        </w:rPr>
        <w:t xml:space="preserve">4.  Affordable housing properties in New Castle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map.png" descr="map.png" title="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Figure 4.1 · New Castle town boundary with affordable-housing overlays. Orange dot is Lakota Ridge Senior Housing.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 place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repository records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affordable housing properties in New Castle</w:t>
      </w:r>
      <w:r>
        <w:rPr>
          <w:rFonts w:ascii="Calibri" w:cs="Calibri" w:eastAsia="Calibri" w:hAnsi="Calibri"/>
          <w:sz w:val="22"/>
          <w:szCs w:val="22"/>
        </w:rPr>
        <w:t xml:space="preserve"> — one LIHTC, one HUD multifamily. Both are on the CHFA preservation candidate list.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D1F35"/>
          <w:sz w:val="22"/>
          <w:szCs w:val="22"/>
        </w:rPr>
        <w:t xml:space="preserve">Property 1 — Lakota Ridge Senior Housing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7258"/>
      </w:tblGrid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Program type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LIHTC (9% Competitive) + Preservation candidate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Address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705 Castle Valley Blvd, New Castle, CO 81647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Coordinates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39.572127, -107.517518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Total units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Affordable units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49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Construction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Award / PIS year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2016 / 2016 (AwardDate 2016-09-01)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Urban / Rural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Rural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Region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Western Slope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Population mix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Senior: 50 · Family / Homeless / Veteran / Supportive: 0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AMI unit mix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30% AMI: 5 · 40%: 5 · 50%: 10 · 60%: 29 · ≥70%: 0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Compliance status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Active Compliance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Non-profit sponsor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recorded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Property ID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lihtc:189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D1F35"/>
          <w:sz w:val="22"/>
          <w:szCs w:val="22"/>
        </w:rPr>
        <w:t xml:space="preserve">Property 2 — New Castle Senior Housing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7258"/>
      </w:tblGrid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Program type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HUD Multifamily (Section 202 / 811) + Preservation candidate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Address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 Castle Valley Blvd, New Castle, CO 81647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Coordinates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39.579559, -107.535462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Total units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Assisted units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23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Subsidy type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HUD 202 or 811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Property category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202/811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Use restriction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Troubled status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Property ID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hud-mf:800219534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Source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HUD MULTIFAMILY_PROPERTIES_ASSISTED · CHFA PreservationProperties_Layer_Final_view_new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Total affordable inventory in New Castle: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74 units across 2 properties · 72 affordable</w:t>
      </w:r>
      <w:r>
        <w:rPr>
          <w:rFonts w:ascii="Calibri" w:cs="Calibri" w:eastAsia="Calibri" w:hAnsi="Calibri"/>
          <w:sz w:val="22"/>
          <w:szCs w:val="22"/>
        </w:rPr>
        <w:t xml:space="preserve">. No USDA RD, no PBV-local, no other independent deed-restricted properties are recorded for the town.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96E65"/>
          <w:sz w:val="28"/>
          <w:szCs w:val="28"/>
        </w:rPr>
        <w:t xml:space="preserve">5.  Awarded LIHTC projects in Garfield County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Twelve projects across the county, from the CHFA HousingTaxCreditProperties live feed filtered to CNTY_FIPS == "08045". Sorted by award year, most recent first.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"/>
        <w:gridCol w:w="3456"/>
        <w:gridCol w:w="1975"/>
        <w:gridCol w:w="790"/>
        <w:gridCol w:w="790"/>
        <w:gridCol w:w="1580"/>
        <w:gridCol w:w="987"/>
      </w:tblGrid>
      <w:tr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096E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456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096E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975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096E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096E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096E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LIHTC</w:t>
            </w:r>
          </w:p>
        </w:tc>
        <w:tc>
          <w:tcPr>
            <w:tcW w:type="dxa" w:w="158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096E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Credit</w:t>
            </w:r>
          </w:p>
        </w:tc>
        <w:tc>
          <w:tcPr>
            <w:tcW w:type="dxa" w:w="987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096E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</w:tr>
      <w:tr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</w:t>
            </w:r>
          </w:p>
        </w:tc>
        <w:tc>
          <w:tcPr>
            <w:tcW w:type="dxa" w:w="3456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Canyon Vista</w:t>
            </w:r>
          </w:p>
        </w:tc>
        <w:tc>
          <w:tcPr>
            <w:tcW w:type="dxa" w:w="1975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Glenwood Springs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80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80</w:t>
            </w:r>
          </w:p>
        </w:tc>
        <w:tc>
          <w:tcPr>
            <w:tcW w:type="dxa" w:w="158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4% + State</w:t>
            </w:r>
          </w:p>
        </w:tc>
        <w:tc>
          <w:tcPr>
            <w:tcW w:type="dxa" w:w="987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Family</w:t>
            </w:r>
          </w:p>
        </w:tc>
      </w:tr>
      <w:tr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</w:t>
            </w:r>
          </w:p>
        </w:tc>
        <w:tc>
          <w:tcPr>
            <w:tcW w:type="dxa" w:w="3456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Aster Place</w:t>
            </w:r>
          </w:p>
        </w:tc>
        <w:tc>
          <w:tcPr>
            <w:tcW w:type="dxa" w:w="1975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Parachute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58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58</w:t>
            </w:r>
          </w:p>
        </w:tc>
        <w:tc>
          <w:tcPr>
            <w:tcW w:type="dxa" w:w="158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9% + State</w:t>
            </w:r>
          </w:p>
        </w:tc>
        <w:tc>
          <w:tcPr>
            <w:tcW w:type="dxa" w:w="987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Family</w:t>
            </w:r>
          </w:p>
        </w:tc>
      </w:tr>
      <w:tr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2023</w:t>
            </w:r>
          </w:p>
        </w:tc>
        <w:tc>
          <w:tcPr>
            <w:tcW w:type="dxa" w:w="3456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Rifle Apartments</w:t>
            </w:r>
          </w:p>
        </w:tc>
        <w:tc>
          <w:tcPr>
            <w:tcW w:type="dxa" w:w="1975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Rifle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60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60</w:t>
            </w:r>
          </w:p>
        </w:tc>
        <w:tc>
          <w:tcPr>
            <w:tcW w:type="dxa" w:w="158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9% Competitive</w:t>
            </w:r>
          </w:p>
        </w:tc>
        <w:tc>
          <w:tcPr>
            <w:tcW w:type="dxa" w:w="987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Family</w:t>
            </w:r>
          </w:p>
        </w:tc>
      </w:tr>
      <w:tr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2023</w:t>
            </w:r>
          </w:p>
        </w:tc>
        <w:tc>
          <w:tcPr>
            <w:tcW w:type="dxa" w:w="3456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Benedict</w:t>
            </w:r>
          </w:p>
        </w:tc>
        <w:tc>
          <w:tcPr>
            <w:tcW w:type="dxa" w:w="1975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Glenwood Springs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34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34</w:t>
            </w:r>
          </w:p>
        </w:tc>
        <w:tc>
          <w:tcPr>
            <w:tcW w:type="dxa" w:w="158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9% Competitive</w:t>
            </w:r>
          </w:p>
        </w:tc>
        <w:tc>
          <w:tcPr>
            <w:tcW w:type="dxa" w:w="987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Senior</w:t>
            </w:r>
          </w:p>
        </w:tc>
      </w:tr>
      <w:tr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2019</w:t>
            </w:r>
          </w:p>
        </w:tc>
        <w:tc>
          <w:tcPr>
            <w:tcW w:type="dxa" w:w="3456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 Hill Lofts</w:t>
            </w:r>
          </w:p>
        </w:tc>
        <w:tc>
          <w:tcPr>
            <w:tcW w:type="dxa" w:w="1975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Carbondale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</w:t>
            </w:r>
          </w:p>
        </w:tc>
        <w:tc>
          <w:tcPr>
            <w:tcW w:type="dxa" w:w="158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9% Competitive</w:t>
            </w:r>
          </w:p>
        </w:tc>
        <w:tc>
          <w:tcPr>
            <w:tcW w:type="dxa" w:w="987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Family</w:t>
            </w:r>
          </w:p>
        </w:tc>
      </w:tr>
      <w:tr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2019</w:t>
            </w:r>
          </w:p>
        </w:tc>
        <w:tc>
          <w:tcPr>
            <w:tcW w:type="dxa" w:w="3456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Maxfield Heights</w:t>
            </w:r>
          </w:p>
        </w:tc>
        <w:tc>
          <w:tcPr>
            <w:tcW w:type="dxa" w:w="1975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Rifle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</w:t>
            </w:r>
          </w:p>
        </w:tc>
        <w:tc>
          <w:tcPr>
            <w:tcW w:type="dxa" w:w="158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9% Competitive</w:t>
            </w:r>
          </w:p>
        </w:tc>
        <w:tc>
          <w:tcPr>
            <w:tcW w:type="dxa" w:w="987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Senior</w:t>
            </w:r>
          </w:p>
        </w:tc>
      </w:tr>
      <w:tr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2016</w:t>
            </w:r>
          </w:p>
        </w:tc>
        <w:tc>
          <w:tcPr>
            <w:tcW w:type="dxa" w:w="3456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Manors I and II</w:t>
            </w:r>
          </w:p>
        </w:tc>
        <w:tc>
          <w:tcPr>
            <w:tcW w:type="dxa" w:w="1975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Glenwood Springs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76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76</w:t>
            </w:r>
          </w:p>
        </w:tc>
        <w:tc>
          <w:tcPr>
            <w:tcW w:type="dxa" w:w="158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4% Tax Exempt</w:t>
            </w:r>
          </w:p>
        </w:tc>
        <w:tc>
          <w:tcPr>
            <w:tcW w:type="dxa" w:w="987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Senior</w:t>
            </w:r>
          </w:p>
        </w:tc>
      </w:tr>
      <w:tr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2016</w:t>
            </w:r>
          </w:p>
        </w:tc>
        <w:tc>
          <w:tcPr>
            <w:tcW w:type="dxa" w:w="3456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Lakota Ridge Senior Housing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(New Castle)</w:t>
            </w:r>
          </w:p>
        </w:tc>
        <w:tc>
          <w:tcPr>
            <w:tcW w:type="dxa" w:w="1975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Castle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49</w:t>
            </w:r>
          </w:p>
        </w:tc>
        <w:tc>
          <w:tcPr>
            <w:tcW w:type="dxa" w:w="158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9% Competitive</w:t>
            </w:r>
          </w:p>
        </w:tc>
        <w:tc>
          <w:tcPr>
            <w:tcW w:type="dxa" w:w="987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Senior</w:t>
            </w:r>
          </w:p>
        </w:tc>
      </w:tr>
      <w:tr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2011</w:t>
            </w:r>
          </w:p>
        </w:tc>
        <w:tc>
          <w:tcPr>
            <w:tcW w:type="dxa" w:w="3456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Glenwood Green Apartments</w:t>
            </w:r>
          </w:p>
        </w:tc>
        <w:tc>
          <w:tcPr>
            <w:tcW w:type="dxa" w:w="1975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Glenwood Springs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60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60</w:t>
            </w:r>
          </w:p>
        </w:tc>
        <w:tc>
          <w:tcPr>
            <w:tcW w:type="dxa" w:w="158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9% Competitive</w:t>
            </w:r>
          </w:p>
        </w:tc>
        <w:tc>
          <w:tcPr>
            <w:tcW w:type="dxa" w:w="987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Family</w:t>
            </w:r>
          </w:p>
        </w:tc>
      </w:tr>
      <w:tr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2002</w:t>
            </w:r>
          </w:p>
        </w:tc>
        <w:tc>
          <w:tcPr>
            <w:tcW w:type="dxa" w:w="3456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White River Village</w:t>
            </w:r>
          </w:p>
        </w:tc>
        <w:tc>
          <w:tcPr>
            <w:tcW w:type="dxa" w:w="1975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Rifle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29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29</w:t>
            </w:r>
          </w:p>
        </w:tc>
        <w:tc>
          <w:tcPr>
            <w:tcW w:type="dxa" w:w="158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9% Competitive</w:t>
            </w:r>
          </w:p>
        </w:tc>
        <w:tc>
          <w:tcPr>
            <w:tcW w:type="dxa" w:w="987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Family</w:t>
            </w:r>
          </w:p>
        </w:tc>
      </w:tr>
      <w:tr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1998</w:t>
            </w:r>
          </w:p>
        </w:tc>
        <w:tc>
          <w:tcPr>
            <w:tcW w:type="dxa" w:w="3456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Eagles Nest Rifle</w:t>
            </w:r>
          </w:p>
        </w:tc>
        <w:tc>
          <w:tcPr>
            <w:tcW w:type="dxa" w:w="1975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Rifle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</w:t>
            </w:r>
          </w:p>
        </w:tc>
        <w:tc>
          <w:tcPr>
            <w:tcW w:type="dxa" w:w="158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9% Competitive</w:t>
            </w:r>
          </w:p>
        </w:tc>
        <w:tc>
          <w:tcPr>
            <w:tcW w:type="dxa" w:w="987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Family</w:t>
            </w:r>
          </w:p>
        </w:tc>
      </w:tr>
      <w:tr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1994</w:t>
            </w:r>
          </w:p>
        </w:tc>
        <w:tc>
          <w:tcPr>
            <w:tcW w:type="dxa" w:w="3456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Villas de Santa Lucia</w:t>
            </w:r>
          </w:p>
        </w:tc>
        <w:tc>
          <w:tcPr>
            <w:tcW w:type="dxa" w:w="1975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Carbondale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61</w:t>
            </w:r>
          </w:p>
        </w:tc>
        <w:tc>
          <w:tcPr>
            <w:tcW w:type="dxa" w:w="79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60</w:t>
            </w:r>
          </w:p>
        </w:tc>
        <w:tc>
          <w:tcPr>
            <w:tcW w:type="dxa" w:w="158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9% Competitive</w:t>
            </w:r>
          </w:p>
        </w:tc>
        <w:tc>
          <w:tcPr>
            <w:tcW w:type="dxa" w:w="987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Family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By city: </w:t>
      </w:r>
      <w:r>
        <w:rPr>
          <w:rFonts w:ascii="Calibri" w:cs="Calibri" w:eastAsia="Calibri" w:hAnsi="Calibri"/>
          <w:sz w:val="22"/>
          <w:szCs w:val="22"/>
        </w:rPr>
        <w:t xml:space="preserve">Glenwood Springs 4 (250 units), Rifle 4 (169), Carbondale 2 (91), New Castle 1 (50), Parachute 1 (58).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Totals: </w:t>
      </w:r>
      <w:r>
        <w:rPr>
          <w:rFonts w:ascii="Calibri" w:cs="Calibri" w:eastAsia="Calibri" w:hAnsi="Calibri"/>
          <w:sz w:val="22"/>
          <w:szCs w:val="22"/>
        </w:rPr>
        <w:t xml:space="preserve">12 projects · 618 units · 614 LIHTC-restricted. The 2026 R1 bridge file shows no Garfield-area award in 2026.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96E65"/>
          <w:sz w:val="28"/>
          <w:szCs w:val="28"/>
        </w:rPr>
        <w:t xml:space="preserve">6.  Failed LIHTC application attempts — New Castle only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Filtering the repository's failed-application records (the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.notAwarded </w:t>
      </w:r>
      <w:r>
        <w:rPr>
          <w:rFonts w:ascii="Calibri" w:cs="Calibri" w:eastAsia="Calibri" w:hAnsi="Calibri"/>
          <w:sz w:val="22"/>
          <w:szCs w:val="22"/>
        </w:rPr>
        <w:t xml:space="preserve">array in chfa-awards-historical.json) to New Castle and Garfield County (FIPS 08045) across calendar years 2021–2026 returns these results: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8"/>
      </w:tblGrid>
      <w:tr>
        <w:tc>
          <w:tcPr>
            <w:tcW w:type="dxa" w:w="10368"/>
            <w:tcBorders>
              <w:top w:val="single" w:color="0E8F5D" w:sz="8"/>
              <w:left w:val="single" w:color="0E8F5D" w:sz="8"/>
              <w:bottom w:val="single" w:color="0E8F5D" w:sz="8"/>
              <w:right w:val="single" w:color="0E8F5D" w:sz="8"/>
            </w:tcBorders>
            <w:shd w:fill="F0FB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F35"/>
                <w:sz w:val="24"/>
                <w:szCs w:val="24"/>
              </w:rPr>
              <w:t xml:space="preserve">Headline finding — 0 failed deals on file for New Castle.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8"/>
      </w:tblGrid>
      <w:tr>
        <w:tc>
          <w:tcPr>
            <w:tcW w:type="dxa" w:w="10368"/>
            <w:tcBorders>
              <w:top w:val="single" w:color="C98B1D" w:sz="8"/>
              <w:left w:val="single" w:color="C98B1D" w:sz="8"/>
              <w:bottom w:val="single" w:color="C98B1D" w:sz="8"/>
              <w:right w:val="single" w:color="C98B1D" w:sz="8"/>
            </w:tcBorders>
            <w:shd w:fill="FFF7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zero is not authoritative.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repository's failure dataset is a five-row, hand-curated qualitative sample — built to feed the policy-briefs evidence panel, not a complete record of every Letter of Intent CHFA received. The authoritative LOI Reports exist as PDFs on CHFA's site; their row data is not parsed into structured form anywhere in this repository.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Sponsor-level search. </w:t>
      </w:r>
      <w:r>
        <w:rPr>
          <w:rFonts w:ascii="Calibri" w:cs="Calibri" w:eastAsia="Calibri" w:hAnsi="Calibri"/>
          <w:sz w:val="22"/>
          <w:szCs w:val="22"/>
        </w:rPr>
        <w:t xml:space="preserve">The 27 awarded rows in chfa-awards-historical.json carry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sponsor </w:t>
      </w:r>
      <w:r>
        <w:rPr>
          <w:rFonts w:ascii="Calibri" w:cs="Calibri" w:eastAsia="Calibri" w:hAnsi="Calibri"/>
          <w:sz w:val="22"/>
          <w:szCs w:val="22"/>
        </w:rPr>
        <w:t xml:space="preserve">field, so queries like "has Shopworks ever applied in New Castle?" cannot be answered against the current data.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96E65"/>
          <w:sz w:val="28"/>
          <w:szCs w:val="28"/>
        </w:rPr>
        <w:t xml:space="preserve">7.  Charts for New Castle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charts in this section come straight from New Castle's page on the COHO Analytics website. Only the charts that actually have New Castle-level data are shown here — charts that fell back to containing-county data (the age pyramid, senior growth pressure, population projections, the Prop 123 trackers) are deliberately left out of this report. Each chart below carries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Geography </w:t>
      </w:r>
      <w:r>
        <w:rPr>
          <w:rFonts w:ascii="Calibri" w:cs="Calibri" w:eastAsia="Calibri" w:hAnsi="Calibri"/>
          <w:sz w:val="22"/>
          <w:szCs w:val="22"/>
        </w:rPr>
        <w:t xml:space="preserve">tag in its caption so you know exactly what the numbers reflect.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D1F35"/>
          <w:sz w:val="22"/>
          <w:szCs w:val="22"/>
        </w:rPr>
        <w:t xml:space="preserve">Housing stock &amp; tenure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Tenure.png" descr="chartTenure.png" title="chartTen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Tenure mix — owner / renter / vacant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#chartTenure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Stock.png" descr="chartStock.png" title="chartSt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Housing units by structure type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#chartStock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HousingTypeComposition.png" descr="chartHousingTypeComposition.png" title="chartHousingTypeCompos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Housing-type composition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#chartHousingTypeComposition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BedroomMix.png" descr="chartBedroomMix.png" title="chartBedroomM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Bedrooms per unit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#chartBedroomMix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ConstructionEra.png" descr="chartConstructionEra.png" title="chartConstructionE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Year structure built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#chartConstructionEra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D1F35"/>
          <w:sz w:val="22"/>
          <w:szCs w:val="22"/>
        </w:rPr>
        <w:t xml:space="preserve">Affordability &amp; cost burden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Afford.png" descr="chartAfford.png" title="chartAff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Income required to buy the typical home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#chartAfford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RentBurdenBins.png" descr="chartRentBurdenBins.png" title="chartRentBurdenBi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Rent burden distribution (GRAPI bins)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#chartRentBurdenBins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OwnerCostBurden.png" descr="chartOwnerCostBurden.png" title="chartOwnerCostBurd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Owner cost burden (SMOCAPI bins)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#chartOwnerCostBurden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ChasGap.png" descr="chartChasGap.png" title="chartChasG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Cost-burden gap by AMI tier (HUD CHAS)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#chartChasGap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IncomeDistribution.png" descr="chartIncomeDistribution.png" title="chartIncome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Household income distribution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#chartIncomeDistribution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D1F35"/>
          <w:sz w:val="22"/>
          <w:szCs w:val="22"/>
        </w:rPr>
        <w:t xml:space="preserve">Economy + employment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Lehd.png" descr="chartLehd.png" title="chartLe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LEHD jobs trend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#chartLehd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EmploymentTrend.png" descr="chartEmploymentTrend.png" title="chartEmployment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Employment trend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#chartEmploymentTrend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Industry.png" descr="chartIndustry.png" title="chartIndus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Employment by industry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#chartIndustry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IndustryAnalysis.png" descr="chartIndustryAnalysis.png" title="chartIndustry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Industry analysis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#chartIndustryAnalysis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Mode.png" descr="chartMode.png" title="chartM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Commute mode share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#chartMode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Wage.png" descr="chartWage.png" title="chartW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Wage distribution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#chartWage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chartWageTrend.png" descr="chartWageTrend.png" title="chartWage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Wage trend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5A6A7C"/>
          <w:sz w:val="18"/>
          <w:szCs w:val="18"/>
        </w:rPr>
        <w:t xml:space="preserve">Geography: New Castle</w:t>
      </w:r>
      <w:r>
        <w:rPr>
          <w:rFonts w:ascii="Calibri" w:cs="Calibri" w:eastAsia="Calibri" w:hAnsi="Calibri"/>
          <w:color w:val="5A6A7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E9AA8"/>
          <w:sz w:val="18"/>
          <w:szCs w:val="18"/>
        </w:rPr>
        <w:t xml:space="preserve">#chartWageTrend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96E65"/>
          <w:sz w:val="28"/>
          <w:szCs w:val="28"/>
        </w:rPr>
        <w:t xml:space="preserve">8.  Policy &amp; local resources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D1F35"/>
          <w:sz w:val="22"/>
          <w:szCs w:val="22"/>
        </w:rPr>
        <w:t xml:space="preserve">Housing-policy scorecard (4 of 7 dimensions met)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7258"/>
      </w:tblGrid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Prop 123 committed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Committed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Housing authority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Garfield County Housing Authority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Housing nonprofits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Multiple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Housing in comprehensive plan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Comprehensive Plan 2019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Dedicated HNA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✗ Not on file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Dedicated local housing funding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✗ Not reported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Inclusionary zoning / IZ incentives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? Unknown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D1F35"/>
          <w:sz w:val="22"/>
          <w:szCs w:val="22"/>
        </w:rPr>
        <w:t xml:space="preserve">Housing lead + key links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7258"/>
      </w:tblGrid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Housing lead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hyperlink w:history="1" r:id="rId1nnrr6eqhe-x28n-t9rbs">
              <w:r>
                <w:rPr>
                  <w:rStyle w:val="Hyperlink"/>
                  <w:sz w:val="22"/>
                  <w:szCs w:val="22"/>
                </w:rPr>
                <w:t xml:space="preserve">Town of New Castle — Community Development</w:t>
              </w:r>
            </w:hyperlink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Housing authority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Garfield County Housing Authority (rental assistance + Housing Choice Vouchers)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Town website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hyperlink w:history="1" r:id="rIdikk7ukxy7lhnyf4f0opjn">
              <w:r>
                <w:rPr>
                  <w:rStyle w:val="Hyperlink"/>
                  <w:sz w:val="22"/>
                  <w:szCs w:val="22"/>
                </w:rPr>
                <w:t xml:space="preserve">newcastlecolorado.org</w:t>
              </w:r>
            </w:hyperlink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Council agenda center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hyperlink w:history="1" r:id="rIdurrbq1x_mqc6t7tzy7rpp">
              <w:r>
                <w:rPr>
                  <w:rStyle w:val="Hyperlink"/>
                  <w:sz w:val="22"/>
                  <w:szCs w:val="22"/>
                </w:rPr>
                <w:t xml:space="preserve">newcastlecolorado.org/AgendaCenter</w:t>
              </w:r>
            </w:hyperlink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Prop 123 commitment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hyperlink w:history="1" r:id="rId-p6c5vxjtqtqcavcafbur">
              <w:r>
                <w:rPr>
                  <w:rStyle w:val="Hyperlink"/>
                  <w:sz w:val="22"/>
                  <w:szCs w:val="22"/>
                </w:rPr>
                <w:t xml:space="preserve">cdola.colorado.gov/commitment-filings</w:t>
              </w:r>
            </w:hyperlink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D1F35"/>
          <w:sz w:val="22"/>
          <w:szCs w:val="22"/>
        </w:rPr>
        <w:t xml:space="preserve">Advocacy &amp; nonprofit partners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7258"/>
      </w:tblGrid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default"/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Regional food + emergency assistance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default"/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Ownership development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default"/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Youth + family stabilization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D1F35"/>
          <w:sz w:val="22"/>
          <w:szCs w:val="22"/>
        </w:rPr>
        <w:t xml:space="preserve">Major in-town employers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7258"/>
      </w:tblGrid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Garfield Re-2 School District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Largest in-town employer; service area New Castle / Silt / Rifle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default"/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6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Castle clinic</w:t>
            </w:r>
          </w:p>
        </w:tc>
      </w:tr>
      <w:tr>
        <w:tc>
          <w:tcPr>
            <w:tcW w:type="dxa" w:w="3110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A7C"/>
                <w:sz w:val="22"/>
                <w:szCs w:val="22"/>
              </w:rPr>
              <w:t xml:space="preserve">Town of New Castle</w:t>
            </w:r>
          </w:p>
        </w:tc>
        <w:tc>
          <w:tcPr>
            <w:tcW w:type="dxa" w:w="7258"/>
            <w:tcBorders>
              <w:top w:val="single" w:color="D8E0E8" w:sz="3"/>
              <w:left w:val="single" w:color="D8E0E8" w:sz="3"/>
              <w:bottom w:val="single" w:color="D8E0E8" w:sz="3"/>
              <w:right w:val="single" w:color="D8E0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Municipal staff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36" w:right="936" w:bottom="936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8E9AA8"/>
        <w:sz w:val="16"/>
        <w:szCs w:val="16"/>
      </w:rPr>
      <w:t xml:space="preserve">Generated 2026-06-08</w:t>
    </w:r>
    <w:r>
      <w:rPr>
        <w:rFonts w:ascii="Calibri" w:cs="Calibri" w:eastAsia="Calibri" w:hAnsi="Calibri"/>
        <w:color w:val="8E9AA8"/>
        <w:sz w:val="16"/>
        <w:szCs w:val="16"/>
      </w:rPr>
      <w:t xml:space="preserve">	Page </w:t>
    </w:r>
    <w:r>
      <w:rPr>
        <w:color w:val="8E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8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8E9AA8"/>
        <w:sz w:val="16"/>
        <w:szCs w:val="16"/>
      </w:rPr>
      <w:t xml:space="preserve">COHO ANALYTICS  ·  HOUSING ANALYTICS REPOSITORY SUMMARY</w:t>
    </w:r>
    <w:r>
      <w:rPr>
        <w:rFonts w:ascii="Calibri" w:cs="Calibri" w:eastAsia="Calibri" w:hAnsi="Calibri"/>
        <w:b/>
        <w:bCs/>
        <w:color w:val="8E9AA8"/>
        <w:sz w:val="16"/>
        <w:szCs w:val="16"/>
      </w:rPr>
      <w:t xml:space="preserve">	NEW CASTLE, CO  ·  GEOID 0853395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96E6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D1F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nnrr6eqhe-x28n-t9rbs" Type="http://schemas.openxmlformats.org/officeDocument/2006/relationships/hyperlink" Target="https://www.newcastlecolorado.org/community-development" TargetMode="External"/><Relationship Id="rIdikk7ukxy7lhnyf4f0opjn" Type="http://schemas.openxmlformats.org/officeDocument/2006/relationships/hyperlink" Target="https://www.newcastlecolorado.org" TargetMode="External"/><Relationship Id="rIdurrbq1x_mqc6t7tzy7rpp" Type="http://schemas.openxmlformats.org/officeDocument/2006/relationships/hyperlink" Target="https://www.newcastlecolorado.org/AgendaCenter" TargetMode="External"/><Relationship Id="rId-p6c5vxjtqtqcavcafbur" Type="http://schemas.openxmlformats.org/officeDocument/2006/relationships/hyperlink" Target="https://cdola.colorado.gov/commitment-filings" TargetMode="External"/><Relationship Id="rId9" Type="http://schemas.openxmlformats.org/officeDocument/2006/relationships/image" Target="media/5f705ba889f3f5d81c14cd3f758c4deff6829a4c.png"/><Relationship Id="rId10" Type="http://schemas.openxmlformats.org/officeDocument/2006/relationships/image" Target="media/1d1551da51bc70246404f132bf4479736fdeecbd.png"/><Relationship Id="rId11" Type="http://schemas.openxmlformats.org/officeDocument/2006/relationships/image" Target="media/b3ce4582e85ef53acf345365ef47ae2cd029f200.png"/><Relationship Id="rId12" Type="http://schemas.openxmlformats.org/officeDocument/2006/relationships/image" Target="media/665eadef1cc00564575e25242393587c4c91525f.png"/><Relationship Id="rId13" Type="http://schemas.openxmlformats.org/officeDocument/2006/relationships/image" Target="media/5b5c1ee9893fceb53455db62453c3c807ace0b73.png"/><Relationship Id="rId14" Type="http://schemas.openxmlformats.org/officeDocument/2006/relationships/image" Target="media/1c6a21b6a7b43033f629bb0429b690b9f79c3c3d.png"/><Relationship Id="rId15" Type="http://schemas.openxmlformats.org/officeDocument/2006/relationships/image" Target="media/c60ac328d37c849c262f5f99ed46df34f5b74f44.png"/><Relationship Id="rId16" Type="http://schemas.openxmlformats.org/officeDocument/2006/relationships/image" Target="media/814d29c57ab1310a58b85d7cdf3d12fd474f4018.png"/><Relationship Id="rId17" Type="http://schemas.openxmlformats.org/officeDocument/2006/relationships/image" Target="media/8c76a9fac9992f1ea78f0cb6f0175a634c582c99.png"/><Relationship Id="rId18" Type="http://schemas.openxmlformats.org/officeDocument/2006/relationships/image" Target="media/a41fc91a7886c75bd2256c312fd87e20e2be055e.png"/><Relationship Id="rId19" Type="http://schemas.openxmlformats.org/officeDocument/2006/relationships/image" Target="media/c53e1518703975c28eec31621c9f86cfc2bbcbed.png"/><Relationship Id="rId20" Type="http://schemas.openxmlformats.org/officeDocument/2006/relationships/image" Target="media/ed559e4bb3356a2aa3c5829e97ce008d0c2aa6c2.png"/><Relationship Id="rId21" Type="http://schemas.openxmlformats.org/officeDocument/2006/relationships/image" Target="media/af2fd59d6aa50265e3ae9a304b13b56fa5a85c75.png"/><Relationship Id="rId22" Type="http://schemas.openxmlformats.org/officeDocument/2006/relationships/image" Target="media/cabbc9dad8574509b41ba1a9d5a270737f74bbe9.png"/><Relationship Id="rId23" Type="http://schemas.openxmlformats.org/officeDocument/2006/relationships/image" Target="media/2fe04ced4c29ef0526ca1d8f182e63aa1ca1dab7.png"/><Relationship Id="rId24" Type="http://schemas.openxmlformats.org/officeDocument/2006/relationships/image" Target="media/729e671037cbe73b8ce97be6a41a6c67bf9e6fcf.png"/><Relationship Id="rId25" Type="http://schemas.openxmlformats.org/officeDocument/2006/relationships/image" Target="media/4c736bf55fb727e37d61a7c5d4daa6a1817c4c35.png"/><Relationship Id="rId26" Type="http://schemas.openxmlformats.org/officeDocument/2006/relationships/image" Target="media/ec7b545768dd2be4713ea9b7fb0cea4219ece5f3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2026-06-08T22:21:32.034Z</dcterms:created>
  <dcterms:modified xsi:type="dcterms:W3CDTF">2026-06-08T22:21:32.035Z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