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METEOROLOGIA E CURA DEL TERRITORIO</w:t>
      </w:r>
    </w:p>
    <w:p>
      <w:pPr>
        <w:pStyle w:val="Subtitle"/>
        <w:jc w:val="center"/>
      </w:pPr>
      <w:r>
        <w:t>Riepilogo conclusivo della pipeline NW HydroClimate</w:t>
        <w:br/>
      </w:r>
      <w:r>
        <w:t>dalla costruzione del dato al master dataset e al modello regionale di previsione delle piene</w:t>
      </w:r>
    </w:p>
    <w:p>
      <w:pPr>
        <w:spacing w:before="360"/>
        <w:jc w:val="center"/>
      </w:pPr>
      <w:r>
        <w:rPr>
          <w:b/>
          <w:sz w:val="24"/>
        </w:rPr>
        <w:t>Stato al 25 agosto 2026</w:t>
      </w:r>
    </w:p>
    <w:tbl>
      <w:tblPr>
        <w:tblStyle w:val="TableGrid"/>
        <w:tblW w:type="auto" w:w="0"/>
        <w:jc w:val="center"/>
        <w:tblLook w:firstColumn="1" w:firstRow="1" w:lastColumn="0" w:lastRow="0" w:noHBand="0" w:noVBand="1" w:val="04A0"/>
      </w:tblPr>
      <w:tblGrid>
        <w:gridCol w:w="4929"/>
        <w:gridCol w:w="4929"/>
      </w:tblGrid>
      <w:tr>
        <w:tc>
          <w:tcPr>
            <w:tcW w:type="dxa" w:w="4929"/>
            <w:shd w:fill="EAF2F8"/>
          </w:tcPr>
          <w:p>
            <w:r>
              <w:rPr>
                <w:b/>
              </w:rPr>
              <w:t>FASE 9 — Master dataset regionale</w:t>
            </w:r>
          </w:p>
        </w:tc>
        <w:tc>
          <w:tcPr>
            <w:tcW w:type="dxa" w:w="4929"/>
          </w:tcPr>
          <w:p>
            <w:r>
              <w:rPr>
                <w:b/>
              </w:rPr>
              <w:t>CLOSED / CANONICAL v1.0</w:t>
            </w:r>
          </w:p>
        </w:tc>
      </w:tr>
      <w:tr>
        <w:tc>
          <w:tcPr>
            <w:tcW w:type="dxa" w:w="4929"/>
            <w:shd w:fill="EAF2F8"/>
          </w:tcPr>
          <w:p>
            <w:r>
              <w:rPr>
                <w:b/>
              </w:rPr>
              <w:t>FASE 10 — Modello regionale CORE</w:t>
            </w:r>
          </w:p>
        </w:tc>
        <w:tc>
          <w:tcPr>
            <w:tcW w:type="dxa" w:w="4929"/>
          </w:tcPr>
          <w:p>
            <w:r>
              <w:rPr>
                <w:b/>
              </w:rPr>
              <w:t>SVILUPPO CLOSED / FROZEN v1.2</w:t>
            </w:r>
          </w:p>
        </w:tc>
      </w:tr>
      <w:tr>
        <w:tc>
          <w:tcPr>
            <w:tcW w:type="dxa" w:w="4929"/>
            <w:shd w:fill="EAF2F8"/>
          </w:tcPr>
          <w:p>
            <w:r>
              <w:rPr>
                <w:b/>
              </w:rPr>
              <w:t>Validazione finale indipendente 2023–2025</w:t>
            </w:r>
          </w:p>
        </w:tc>
        <w:tc>
          <w:tcPr>
            <w:tcW w:type="dxa" w:w="4929"/>
          </w:tcPr>
          <w:p>
            <w:r>
              <w:rPr>
                <w:b/>
              </w:rPr>
              <w:t>COMPLETATA / NO FURTHER TUNING</w:t>
            </w:r>
          </w:p>
        </w:tc>
      </w:tr>
    </w:tbl>
    <w:p>
      <w:pPr>
        <w:spacing w:before="360"/>
        <w:jc w:val="center"/>
      </w:pPr>
      <w:r>
        <w:rPr>
          <w:color w:val="5A5A5A"/>
          <w:sz w:val="19"/>
        </w:rPr>
        <w:t>Documento tecnico-scientifico di chiusura del ciclo di costruzione dati, feature engineering, target, master e modello CORE</w:t>
      </w:r>
    </w:p>
    <w:p>
      <w:r>
        <w:br w:type="page"/>
      </w:r>
    </w:p>
    <w:p>
      <w:pPr>
        <w:pStyle w:val="Heading1"/>
      </w:pPr>
      <w:r>
        <w:t>Controllo del documento</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2835"/>
            <w:shd w:fill="D9EAF7"/>
            <w:vAlign w:val="center"/>
          </w:tcPr>
          <w:p>
            <w:pPr>
              <w:jc w:val="center"/>
            </w:pPr>
            <w:r>
              <w:rPr>
                <w:b/>
                <w:sz w:val="17"/>
              </w:rPr>
              <w:t>Voce</w:t>
            </w:r>
          </w:p>
        </w:tc>
        <w:tc>
          <w:tcPr>
            <w:tcW w:type="dxa" w:w="6520"/>
            <w:shd w:fill="D9EAF7"/>
            <w:vAlign w:val="center"/>
          </w:tcPr>
          <w:p>
            <w:pPr>
              <w:jc w:val="center"/>
            </w:pPr>
            <w:r>
              <w:rPr>
                <w:b/>
                <w:sz w:val="17"/>
              </w:rPr>
              <w:t>Valore</w:t>
            </w:r>
          </w:p>
        </w:tc>
      </w:tr>
      <w:tr>
        <w:trPr>
          <w:cantSplit w:val="true"/>
        </w:trPr>
        <w:tc>
          <w:tcPr>
            <w:tcW w:type="dxa" w:w="2835"/>
            <w:vAlign w:val="top"/>
          </w:tcPr>
          <w:p>
            <w:pPr>
              <w:spacing w:after="0" w:before="0"/>
            </w:pPr>
            <w:r>
              <w:rPr>
                <w:sz w:val="17"/>
              </w:rPr>
              <w:t>Cartella principale del progetto</w:t>
            </w:r>
          </w:p>
        </w:tc>
        <w:tc>
          <w:tcPr>
            <w:tcW w:type="dxa" w:w="6520"/>
            <w:vAlign w:val="top"/>
          </w:tcPr>
          <w:p>
            <w:pPr>
              <w:spacing w:after="0" w:before="0"/>
            </w:pPr>
            <w:r>
              <w:rPr>
                <w:sz w:val="17"/>
              </w:rPr>
              <w:t>/Users/giordana/Desktop/Progetti vari pratici/Clima/programma/MedSea_Copernicus_Pipeline_v1</w:t>
            </w:r>
          </w:p>
        </w:tc>
      </w:tr>
      <w:tr>
        <w:trPr>
          <w:cantSplit w:val="true"/>
        </w:trPr>
        <w:tc>
          <w:tcPr>
            <w:tcW w:type="dxa" w:w="2835"/>
            <w:vAlign w:val="top"/>
          </w:tcPr>
          <w:p>
            <w:pPr>
              <w:spacing w:after="0" w:before="0"/>
            </w:pPr>
            <w:r>
              <w:rPr>
                <w:sz w:val="17"/>
              </w:rPr>
              <w:t>Ambiente Python principale</w:t>
            </w:r>
          </w:p>
        </w:tc>
        <w:tc>
          <w:tcPr>
            <w:tcW w:type="dxa" w:w="6520"/>
            <w:vAlign w:val="top"/>
          </w:tcPr>
          <w:p>
            <w:pPr>
              <w:spacing w:after="0" w:before="0"/>
            </w:pPr>
            <w:r>
              <w:rPr>
                <w:sz w:val="17"/>
              </w:rPr>
              <w:t>/Users/giordana/Desktop/Progetti vari pratici/Clima/programma/.venv</w:t>
            </w:r>
          </w:p>
        </w:tc>
      </w:tr>
      <w:tr>
        <w:trPr>
          <w:cantSplit w:val="true"/>
        </w:trPr>
        <w:tc>
          <w:tcPr>
            <w:tcW w:type="dxa" w:w="2835"/>
            <w:vAlign w:val="top"/>
          </w:tcPr>
          <w:p>
            <w:pPr>
              <w:spacing w:after="0" w:before="0"/>
            </w:pPr>
            <w:r>
              <w:rPr>
                <w:sz w:val="17"/>
              </w:rPr>
              <w:t>Ambiente GIS/terrain</w:t>
            </w:r>
          </w:p>
        </w:tc>
        <w:tc>
          <w:tcPr>
            <w:tcW w:type="dxa" w:w="6520"/>
            <w:vAlign w:val="top"/>
          </w:tcPr>
          <w:p>
            <w:pPr>
              <w:spacing w:after="0" w:before="0"/>
            </w:pPr>
            <w:r>
              <w:rPr>
                <w:sz w:val="17"/>
              </w:rPr>
              <w:t>/Users/giordana/Desktop/Progetti vari pratici/Clima/programma/.venv_terrain</w:t>
            </w:r>
          </w:p>
        </w:tc>
      </w:tr>
      <w:tr>
        <w:trPr>
          <w:cantSplit w:val="true"/>
        </w:trPr>
        <w:tc>
          <w:tcPr>
            <w:tcW w:type="dxa" w:w="2835"/>
            <w:vAlign w:val="top"/>
          </w:tcPr>
          <w:p>
            <w:pPr>
              <w:spacing w:after="0" w:before="0"/>
            </w:pPr>
            <w:r>
              <w:rPr>
                <w:sz w:val="17"/>
              </w:rPr>
              <w:t>Periodo storico principale</w:t>
            </w:r>
          </w:p>
        </w:tc>
        <w:tc>
          <w:tcPr>
            <w:tcW w:type="dxa" w:w="6520"/>
            <w:vAlign w:val="top"/>
          </w:tcPr>
          <w:p>
            <w:pPr>
              <w:spacing w:after="0" w:before="0"/>
            </w:pPr>
            <w:r>
              <w:rPr>
                <w:sz w:val="17"/>
              </w:rPr>
              <w:t>Settembre–dicembre 1987–2025</w:t>
            </w:r>
          </w:p>
        </w:tc>
      </w:tr>
      <w:tr>
        <w:trPr>
          <w:cantSplit w:val="true"/>
        </w:trPr>
        <w:tc>
          <w:tcPr>
            <w:tcW w:type="dxa" w:w="2835"/>
            <w:vAlign w:val="top"/>
          </w:tcPr>
          <w:p>
            <w:pPr>
              <w:spacing w:after="0" w:before="0"/>
            </w:pPr>
            <w:r>
              <w:rPr>
                <w:sz w:val="17"/>
              </w:rPr>
              <w:t>Recettori regionali</w:t>
            </w:r>
          </w:p>
        </w:tc>
        <w:tc>
          <w:tcPr>
            <w:tcW w:type="dxa" w:w="6520"/>
            <w:vAlign w:val="top"/>
          </w:tcPr>
          <w:p>
            <w:pPr>
              <w:spacing w:after="0" w:before="0"/>
            </w:pPr>
            <w:r>
              <w:rPr>
                <w:sz w:val="17"/>
              </w:rPr>
              <w:t>21 geografici; 20 con target idrologico supervisionato</w:t>
            </w:r>
          </w:p>
        </w:tc>
      </w:tr>
      <w:tr>
        <w:trPr>
          <w:cantSplit w:val="true"/>
        </w:trPr>
        <w:tc>
          <w:tcPr>
            <w:tcW w:type="dxa" w:w="2835"/>
            <w:vAlign w:val="top"/>
          </w:tcPr>
          <w:p>
            <w:pPr>
              <w:spacing w:after="0" w:before="0"/>
            </w:pPr>
            <w:r>
              <w:rPr>
                <w:sz w:val="17"/>
              </w:rPr>
              <w:t>Criterio di questo riepilogo</w:t>
            </w:r>
          </w:p>
        </w:tc>
        <w:tc>
          <w:tcPr>
            <w:tcW w:type="dxa" w:w="6520"/>
            <w:vAlign w:val="top"/>
          </w:tcPr>
          <w:p>
            <w:pPr>
              <w:spacing w:after="0" w:before="0"/>
            </w:pPr>
            <w:r>
              <w:rPr>
                <w:sz w:val="17"/>
              </w:rPr>
              <w:t>Sono riportati i prodotti canonici e i passaggi diagnostici necessari a comprendere le decisioni. Le versioni fallite o superate sono esplicitamente marcate come non canoniche.</w:t>
            </w:r>
          </w:p>
        </w:tc>
      </w:tr>
      <w:tr>
        <w:trPr>
          <w:cantSplit w:val="true"/>
        </w:trPr>
        <w:tc>
          <w:tcPr>
            <w:tcW w:type="dxa" w:w="2835"/>
            <w:vAlign w:val="top"/>
          </w:tcPr>
          <w:p>
            <w:pPr>
              <w:spacing w:after="0" w:before="0"/>
            </w:pPr>
            <w:r>
              <w:rPr>
                <w:sz w:val="17"/>
              </w:rPr>
              <w:t>Punto di chiusura</w:t>
            </w:r>
          </w:p>
        </w:tc>
        <w:tc>
          <w:tcPr>
            <w:tcW w:type="dxa" w:w="6520"/>
            <w:vAlign w:val="top"/>
          </w:tcPr>
          <w:p>
            <w:pPr>
              <w:spacing w:after="0" w:before="0"/>
            </w:pPr>
            <w:r>
              <w:rPr>
                <w:sz w:val="17"/>
              </w:rPr>
              <w:t>Il master CORE e il modello CORE sono conclusi. Il final holdout 2023–2025 è stato aperto e valutato una sola volta; non è più consentito tuning sullo stesso periodo.</w:t>
            </w:r>
          </w:p>
        </w:tc>
      </w:tr>
    </w:tbl>
    <w:p/>
    <w:tbl>
      <w:tblPr>
        <w:tblStyle w:val="TableGrid"/>
        <w:tblW w:type="auto" w:w="0"/>
        <w:jc w:val="center"/>
        <w:tblLook w:firstColumn="1" w:firstRow="1" w:lastColumn="0" w:lastRow="0" w:noHBand="0" w:noVBand="1" w:val="04A0"/>
      </w:tblPr>
      <w:tblGrid>
        <w:gridCol w:w="9858"/>
      </w:tblGrid>
      <w:tr>
        <w:tc>
          <w:tcPr>
            <w:tcW w:type="dxa" w:w="9858"/>
            <w:shd w:fill="F3F6F8"/>
          </w:tcPr>
          <w:p>
            <w:pPr>
              <w:spacing w:after="0"/>
            </w:pPr>
            <w:r>
              <w:rPr>
                <w:b/>
              </w:rPr>
              <w:t xml:space="preserve">Nota — </w:t>
            </w:r>
            <w:r>
              <w:t>Questo documento fotografa lo stato realmente raggiunto al 25 agosto 2026. Non sostituisce i file di audit: li organizza, ne riporta gli esiti e identifica ciò che è canonico, diagnostico o superato.</w:t>
            </w:r>
          </w:p>
        </w:tc>
      </w:tr>
    </w:tbl>
    <w:p/>
    <w:p>
      <w:pPr>
        <w:pStyle w:val="Heading1"/>
      </w:pPr>
      <w:r>
        <w:t>Indice dei contenuti</w:t>
      </w:r>
    </w:p>
    <w:p>
      <w:pPr>
        <w:pStyle w:val="ListNumber"/>
        <w:spacing w:after="40"/>
      </w:pPr>
      <w:r>
        <w:t>Sintesi conclusiva e stato del progetto</w:t>
      </w:r>
    </w:p>
    <w:p>
      <w:pPr>
        <w:pStyle w:val="ListNumber"/>
        <w:spacing w:after="40"/>
      </w:pPr>
      <w:r>
        <w:t>Obiettivo scientifico e architettura causale</w:t>
      </w:r>
    </w:p>
    <w:p>
      <w:pPr>
        <w:pStyle w:val="ListNumber"/>
        <w:spacing w:after="40"/>
      </w:pPr>
      <w:r>
        <w:t>Struttura informatica, ambienti e regole di riproducibilità</w:t>
      </w:r>
    </w:p>
    <w:p>
      <w:pPr>
        <w:pStyle w:val="ListNumber"/>
        <w:spacing w:after="40"/>
      </w:pPr>
      <w:r>
        <w:t>Fonti dati e acquisizione</w:t>
      </w:r>
    </w:p>
    <w:p>
      <w:pPr>
        <w:pStyle w:val="ListNumber"/>
        <w:spacing w:after="40"/>
      </w:pPr>
      <w:r>
        <w:t>Recettori regionali e geometrie</w:t>
      </w:r>
    </w:p>
    <w:p>
      <w:pPr>
        <w:pStyle w:val="ListNumber"/>
        <w:spacing w:after="40"/>
      </w:pPr>
      <w:r>
        <w:t>Osservazioni regionali: acquisizione, standardizzazione e QC</w:t>
      </w:r>
    </w:p>
    <w:p>
      <w:pPr>
        <w:pStyle w:val="ListNumber"/>
        <w:spacing w:after="40"/>
      </w:pPr>
      <w:r>
        <w:t>Feature meteorologiche e accoppiamento MedSea–IVT</w:t>
      </w:r>
    </w:p>
    <w:p>
      <w:pPr>
        <w:pStyle w:val="ListNumber"/>
        <w:spacing w:after="40"/>
      </w:pPr>
      <w:r>
        <w:t>Rete idrologica, soglie ufficiali e target primari</w:t>
      </w:r>
    </w:p>
    <w:p>
      <w:pPr>
        <w:pStyle w:val="ListNumber"/>
        <w:spacing w:after="40"/>
      </w:pPr>
      <w:r>
        <w:t>Costruzione delle label previsionali Q95</w:t>
      </w:r>
    </w:p>
    <w:p>
      <w:pPr>
        <w:pStyle w:val="ListNumber"/>
        <w:spacing w:after="40"/>
      </w:pPr>
      <w:r>
        <w:t>Whitelist delle feature dinamiche e descrittori statici</w:t>
      </w:r>
    </w:p>
    <w:p>
      <w:pPr>
        <w:pStyle w:val="ListNumber"/>
        <w:spacing w:after="40"/>
      </w:pPr>
      <w:r>
        <w:t>FASE 9 — Master dataset regionale canonico</w:t>
      </w:r>
    </w:p>
    <w:p>
      <w:pPr>
        <w:pStyle w:val="ListNumber"/>
        <w:spacing w:after="40"/>
      </w:pPr>
      <w:r>
        <w:t>FASE 10 — Modello regionale CORE: benchmark, freeze e calibrazione</w:t>
      </w:r>
    </w:p>
    <w:p>
      <w:pPr>
        <w:pStyle w:val="ListNumber"/>
        <w:spacing w:after="40"/>
      </w:pPr>
      <w:r>
        <w:t>Validazione finale indipendente 2023–2025</w:t>
      </w:r>
    </w:p>
    <w:p>
      <w:pPr>
        <w:pStyle w:val="ListNumber"/>
        <w:spacing w:after="40"/>
      </w:pPr>
      <w:r>
        <w:t>Interpretazione scientifica e limiti</w:t>
      </w:r>
    </w:p>
    <w:p>
      <w:pPr>
        <w:pStyle w:val="ListNumber"/>
        <w:spacing w:after="40"/>
      </w:pPr>
      <w:r>
        <w:t>Ramo parallelo Tanaro–Arroscia</w:t>
      </w:r>
    </w:p>
    <w:p>
      <w:pPr>
        <w:pStyle w:val="ListNumber"/>
        <w:spacing w:after="40"/>
      </w:pPr>
      <w:r>
        <w:t>Registro dei principali artefatti e script canonici</w:t>
      </w:r>
    </w:p>
    <w:p>
      <w:pPr>
        <w:pStyle w:val="ListNumber"/>
        <w:spacing w:after="40"/>
      </w:pPr>
      <w:r>
        <w:t>Artefatti diagnostici/superati da non usare come canonici</w:t>
      </w:r>
    </w:p>
    <w:p>
      <w:pPr>
        <w:pStyle w:val="ListNumber"/>
        <w:spacing w:after="40"/>
      </w:pPr>
      <w:r>
        <w:t>Stato finale, cosa è chiuso e cosa potrà essere fatto dopo</w:t>
      </w:r>
    </w:p>
    <w:p>
      <w:pPr>
        <w:pStyle w:val="ListNumber"/>
        <w:spacing w:after="40"/>
      </w:pPr>
      <w:r>
        <w:t>Appendice A — Rete dei 20 target idrologici e soglie ufficiali</w:t>
      </w:r>
    </w:p>
    <w:p>
      <w:pPr>
        <w:pStyle w:val="ListNumber"/>
        <w:spacing w:after="40"/>
      </w:pPr>
      <w:r>
        <w:t>Appendice B — Metriche finali del modello</w:t>
      </w:r>
    </w:p>
    <w:p>
      <w:r>
        <w:br w:type="page"/>
      </w:r>
    </w:p>
    <w:p>
      <w:pPr>
        <w:pStyle w:val="Heading1"/>
      </w:pPr>
      <w:r>
        <w:t>1. Sintesi conclusiva e stato del progetto</w:t>
      </w:r>
    </w:p>
    <w:p>
      <w:r>
        <w:rPr>
          <w:b/>
        </w:rPr>
        <w:t xml:space="preserve">Risultato principale. </w:t>
      </w:r>
      <w:r>
        <w:t>Il progetto ha completato l’intera catena necessaria per passare da fonti eterogenee marine, atmosferiche, meteorologiche, idrologiche e territoriali a un master dataset riproducibile e a un modello regionale CORE di previsione probabilistica delle piene a 24, 48 e 72 ore. La Fase 9, cioè il master dataset regionale, è formalmente CLOSED / CANONICAL v1.0. La Fase 10, cioè lo sviluppo del modello CORE, è stata chiusa con configurazioni congelate e validazione indipendente sul final holdout 2023–2025.</w:t>
      </w:r>
    </w:p>
    <w:tbl>
      <w:tblPr>
        <w:tblStyle w:val="TableGrid"/>
        <w:tblW w:type="auto" w:w="0"/>
        <w:jc w:val="center"/>
        <w:tblLook w:firstColumn="1" w:firstRow="1" w:lastColumn="0" w:lastRow="0" w:noHBand="0" w:noVBand="1" w:val="04A0"/>
      </w:tblPr>
      <w:tblGrid>
        <w:gridCol w:w="3286"/>
        <w:gridCol w:w="3286"/>
        <w:gridCol w:w="3286"/>
      </w:tblGrid>
      <w:tr>
        <w:trPr>
          <w:tblHeader w:val="true"/>
          <w:cantSplit w:val="true"/>
        </w:trPr>
        <w:tc>
          <w:tcPr>
            <w:tcW w:type="dxa" w:w="2948"/>
            <w:shd w:fill="D9EAF7"/>
            <w:vAlign w:val="center"/>
          </w:tcPr>
          <w:p>
            <w:pPr>
              <w:jc w:val="center"/>
            </w:pPr>
            <w:r>
              <w:rPr>
                <w:b/>
                <w:sz w:val="16"/>
              </w:rPr>
              <w:t>Blocco</w:t>
            </w:r>
          </w:p>
        </w:tc>
        <w:tc>
          <w:tcPr>
            <w:tcW w:type="dxa" w:w="2268"/>
            <w:shd w:fill="D9EAF7"/>
            <w:vAlign w:val="center"/>
          </w:tcPr>
          <w:p>
            <w:pPr>
              <w:jc w:val="center"/>
            </w:pPr>
            <w:r>
              <w:rPr>
                <w:b/>
                <w:sz w:val="16"/>
              </w:rPr>
              <w:t>Stato finale</w:t>
            </w:r>
          </w:p>
        </w:tc>
        <w:tc>
          <w:tcPr>
            <w:tcW w:type="dxa" w:w="3969"/>
            <w:shd w:fill="D9EAF7"/>
            <w:vAlign w:val="center"/>
          </w:tcPr>
          <w:p>
            <w:pPr>
              <w:jc w:val="center"/>
            </w:pPr>
            <w:r>
              <w:rPr>
                <w:b/>
                <w:sz w:val="16"/>
              </w:rPr>
              <w:t>Indicatore chiave</w:t>
            </w:r>
          </w:p>
        </w:tc>
      </w:tr>
      <w:tr>
        <w:trPr>
          <w:cantSplit w:val="true"/>
        </w:trPr>
        <w:tc>
          <w:tcPr>
            <w:tcW w:type="dxa" w:w="2948"/>
            <w:vAlign w:val="top"/>
          </w:tcPr>
          <w:p>
            <w:pPr>
              <w:spacing w:after="0" w:before="0"/>
            </w:pPr>
            <w:r>
              <w:rPr>
                <w:sz w:val="16"/>
              </w:rPr>
              <w:t>Mare storico MedSea 1987–2025</w:t>
            </w:r>
          </w:p>
        </w:tc>
        <w:tc>
          <w:tcPr>
            <w:tcW w:type="dxa" w:w="2268"/>
            <w:vAlign w:val="top"/>
          </w:tcPr>
          <w:p>
            <w:pPr>
              <w:spacing w:after="0" w:before="0"/>
            </w:pPr>
            <w:r>
              <w:rPr>
                <w:sz w:val="16"/>
              </w:rPr>
              <w:t>CLOSED / QC PASS</w:t>
            </w:r>
          </w:p>
        </w:tc>
        <w:tc>
          <w:tcPr>
            <w:tcW w:type="dxa" w:w="3969"/>
            <w:vAlign w:val="top"/>
          </w:tcPr>
          <w:p>
            <w:pPr>
              <w:spacing w:after="0" w:before="0"/>
            </w:pPr>
            <w:r>
              <w:rPr>
                <w:sz w:val="16"/>
              </w:rPr>
              <w:t>4.758 giorni SST; 156 mesi OHC</w:t>
            </w:r>
          </w:p>
        </w:tc>
      </w:tr>
      <w:tr>
        <w:trPr>
          <w:cantSplit w:val="true"/>
        </w:trPr>
        <w:tc>
          <w:tcPr>
            <w:tcW w:type="dxa" w:w="2948"/>
            <w:vAlign w:val="top"/>
          </w:tcPr>
          <w:p>
            <w:pPr>
              <w:spacing w:after="0" w:before="0"/>
            </w:pPr>
            <w:r>
              <w:rPr>
                <w:sz w:val="16"/>
              </w:rPr>
              <w:t>ERA5 storico 1987–2025</w:t>
            </w:r>
          </w:p>
        </w:tc>
        <w:tc>
          <w:tcPr>
            <w:tcW w:type="dxa" w:w="2268"/>
            <w:vAlign w:val="top"/>
          </w:tcPr>
          <w:p>
            <w:pPr>
              <w:spacing w:after="0" w:before="0"/>
            </w:pPr>
            <w:r>
              <w:rPr>
                <w:sz w:val="16"/>
              </w:rPr>
              <w:t>CLOSED / PASS</w:t>
            </w:r>
          </w:p>
        </w:tc>
        <w:tc>
          <w:tcPr>
            <w:tcW w:type="dxa" w:w="3969"/>
            <w:vAlign w:val="top"/>
          </w:tcPr>
          <w:p>
            <w:pPr>
              <w:spacing w:after="0" w:before="0"/>
            </w:pPr>
            <w:r>
              <w:rPr>
                <w:sz w:val="16"/>
              </w:rPr>
              <w:t>624 file mensili/famiglia attesi; feature bacino 99.918 righe</w:t>
            </w:r>
          </w:p>
        </w:tc>
      </w:tr>
      <w:tr>
        <w:trPr>
          <w:cantSplit w:val="true"/>
        </w:trPr>
        <w:tc>
          <w:tcPr>
            <w:tcW w:type="dxa" w:w="2948"/>
            <w:vAlign w:val="top"/>
          </w:tcPr>
          <w:p>
            <w:pPr>
              <w:spacing w:after="0" w:before="0"/>
            </w:pPr>
            <w:r>
              <w:rPr>
                <w:sz w:val="16"/>
              </w:rPr>
              <w:t>Osservazioni Piemonte</w:t>
            </w:r>
          </w:p>
        </w:tc>
        <w:tc>
          <w:tcPr>
            <w:tcW w:type="dxa" w:w="2268"/>
            <w:vAlign w:val="top"/>
          </w:tcPr>
          <w:p>
            <w:pPr>
              <w:spacing w:after="0" w:before="0"/>
            </w:pPr>
            <w:r>
              <w:rPr>
                <w:sz w:val="16"/>
              </w:rPr>
              <w:t>CLOSED / PASS</w:t>
            </w:r>
          </w:p>
        </w:tc>
        <w:tc>
          <w:tcPr>
            <w:tcW w:type="dxa" w:w="3969"/>
            <w:vAlign w:val="top"/>
          </w:tcPr>
          <w:p>
            <w:pPr>
              <w:spacing w:after="0" w:before="0"/>
            </w:pPr>
            <w:r>
              <w:rPr>
                <w:sz w:val="16"/>
              </w:rPr>
              <w:t>407 serie: 397 DATA_OK, 10 NO_DATA_SOURCE</w:t>
            </w:r>
          </w:p>
        </w:tc>
      </w:tr>
      <w:tr>
        <w:trPr>
          <w:cantSplit w:val="true"/>
        </w:trPr>
        <w:tc>
          <w:tcPr>
            <w:tcW w:type="dxa" w:w="2948"/>
            <w:vAlign w:val="top"/>
          </w:tcPr>
          <w:p>
            <w:pPr>
              <w:spacing w:after="0" w:before="0"/>
            </w:pPr>
            <w:r>
              <w:rPr>
                <w:sz w:val="16"/>
              </w:rPr>
              <w:t>Osservazioni Valle d’Aosta</w:t>
            </w:r>
          </w:p>
        </w:tc>
        <w:tc>
          <w:tcPr>
            <w:tcW w:type="dxa" w:w="2268"/>
            <w:vAlign w:val="top"/>
          </w:tcPr>
          <w:p>
            <w:pPr>
              <w:spacing w:after="0" w:before="0"/>
            </w:pPr>
            <w:r>
              <w:rPr>
                <w:sz w:val="16"/>
              </w:rPr>
              <w:t>CLOSED / PASS</w:t>
            </w:r>
          </w:p>
        </w:tc>
        <w:tc>
          <w:tcPr>
            <w:tcW w:type="dxa" w:w="3969"/>
            <w:vAlign w:val="top"/>
          </w:tcPr>
          <w:p>
            <w:pPr>
              <w:spacing w:after="0" w:before="0"/>
            </w:pPr>
            <w:r>
              <w:rPr>
                <w:sz w:val="16"/>
              </w:rPr>
              <w:t>522 station-parameter: 504 DATA_OK, 18 NO_DATA_SOURCE</w:t>
            </w:r>
          </w:p>
        </w:tc>
      </w:tr>
      <w:tr>
        <w:trPr>
          <w:cantSplit w:val="true"/>
        </w:trPr>
        <w:tc>
          <w:tcPr>
            <w:tcW w:type="dxa" w:w="2948"/>
            <w:vAlign w:val="top"/>
          </w:tcPr>
          <w:p>
            <w:pPr>
              <w:spacing w:after="0" w:before="0"/>
            </w:pPr>
            <w:r>
              <w:rPr>
                <w:sz w:val="16"/>
              </w:rPr>
              <w:t>Osservazioni Liguria</w:t>
            </w:r>
          </w:p>
        </w:tc>
        <w:tc>
          <w:tcPr>
            <w:tcW w:type="dxa" w:w="2268"/>
            <w:vAlign w:val="top"/>
          </w:tcPr>
          <w:p>
            <w:pPr>
              <w:spacing w:after="0" w:before="0"/>
            </w:pPr>
            <w:r>
              <w:rPr>
                <w:sz w:val="16"/>
              </w:rPr>
              <w:t>CLOSED / PASS</w:t>
            </w:r>
          </w:p>
        </w:tc>
        <w:tc>
          <w:tcPr>
            <w:tcW w:type="dxa" w:w="3969"/>
            <w:vAlign w:val="top"/>
          </w:tcPr>
          <w:p>
            <w:pPr>
              <w:spacing w:after="0" w:before="0"/>
            </w:pPr>
            <w:r>
              <w:rPr>
                <w:sz w:val="16"/>
              </w:rPr>
              <w:t>780 target-year: 411 DATA_OK, 369 NO_DATA_CONFIRMED</w:t>
            </w:r>
          </w:p>
        </w:tc>
      </w:tr>
      <w:tr>
        <w:trPr>
          <w:cantSplit w:val="true"/>
        </w:trPr>
        <w:tc>
          <w:tcPr>
            <w:tcW w:type="dxa" w:w="2948"/>
            <w:vAlign w:val="top"/>
          </w:tcPr>
          <w:p>
            <w:pPr>
              <w:spacing w:after="0" w:before="0"/>
            </w:pPr>
            <w:r>
              <w:rPr>
                <w:sz w:val="16"/>
              </w:rPr>
              <w:t>Valori osservati standardizzati</w:t>
            </w:r>
          </w:p>
        </w:tc>
        <w:tc>
          <w:tcPr>
            <w:tcW w:type="dxa" w:w="2268"/>
            <w:vAlign w:val="top"/>
          </w:tcPr>
          <w:p>
            <w:pPr>
              <w:spacing w:after="0" w:before="0"/>
            </w:pPr>
            <w:r>
              <w:rPr>
                <w:sz w:val="16"/>
              </w:rPr>
              <w:t>CLOSED / PASS</w:t>
            </w:r>
          </w:p>
        </w:tc>
        <w:tc>
          <w:tcPr>
            <w:tcW w:type="dxa" w:w="3969"/>
            <w:vAlign w:val="top"/>
          </w:tcPr>
          <w:p>
            <w:pPr>
              <w:spacing w:after="0" w:before="0"/>
            </w:pPr>
            <w:r>
              <w:rPr>
                <w:sz w:val="16"/>
              </w:rPr>
              <w:t>27.822.958 valori numerici; 1.312 serie</w:t>
            </w:r>
          </w:p>
        </w:tc>
      </w:tr>
      <w:tr>
        <w:trPr>
          <w:cantSplit w:val="true"/>
        </w:trPr>
        <w:tc>
          <w:tcPr>
            <w:tcW w:type="dxa" w:w="2948"/>
            <w:vAlign w:val="top"/>
          </w:tcPr>
          <w:p>
            <w:pPr>
              <w:spacing w:after="0" w:before="0"/>
            </w:pPr>
            <w:r>
              <w:rPr>
                <w:sz w:val="16"/>
              </w:rPr>
              <w:t>Layer giornaliero stazioni</w:t>
            </w:r>
          </w:p>
        </w:tc>
        <w:tc>
          <w:tcPr>
            <w:tcW w:type="dxa" w:w="2268"/>
            <w:vAlign w:val="top"/>
          </w:tcPr>
          <w:p>
            <w:pPr>
              <w:spacing w:after="0" w:before="0"/>
            </w:pPr>
            <w:r>
              <w:rPr>
                <w:sz w:val="16"/>
              </w:rPr>
              <w:t>CLOSED / PASS</w:t>
            </w:r>
          </w:p>
        </w:tc>
        <w:tc>
          <w:tcPr>
            <w:tcW w:type="dxa" w:w="3969"/>
            <w:vAlign w:val="top"/>
          </w:tcPr>
          <w:p>
            <w:pPr>
              <w:spacing w:after="0" w:before="0"/>
            </w:pPr>
            <w:r>
              <w:rPr>
                <w:sz w:val="16"/>
              </w:rPr>
              <w:t>2.517.182 righe giornaliere</w:t>
            </w:r>
          </w:p>
        </w:tc>
      </w:tr>
      <w:tr>
        <w:trPr>
          <w:cantSplit w:val="true"/>
        </w:trPr>
        <w:tc>
          <w:tcPr>
            <w:tcW w:type="dxa" w:w="2948"/>
            <w:vAlign w:val="top"/>
          </w:tcPr>
          <w:p>
            <w:pPr>
              <w:spacing w:after="0" w:before="0"/>
            </w:pPr>
            <w:r>
              <w:rPr>
                <w:sz w:val="16"/>
              </w:rPr>
              <w:t>Recettori regionali</w:t>
            </w:r>
          </w:p>
        </w:tc>
        <w:tc>
          <w:tcPr>
            <w:tcW w:type="dxa" w:w="2268"/>
            <w:vAlign w:val="top"/>
          </w:tcPr>
          <w:p>
            <w:pPr>
              <w:spacing w:after="0" w:before="0"/>
            </w:pPr>
            <w:r>
              <w:rPr>
                <w:sz w:val="16"/>
              </w:rPr>
              <w:t>CLOSED</w:t>
            </w:r>
          </w:p>
        </w:tc>
        <w:tc>
          <w:tcPr>
            <w:tcW w:type="dxa" w:w="3969"/>
            <w:vAlign w:val="top"/>
          </w:tcPr>
          <w:p>
            <w:pPr>
              <w:spacing w:after="0" w:before="0"/>
            </w:pPr>
            <w:r>
              <w:rPr>
                <w:sz w:val="16"/>
              </w:rPr>
              <w:t>21 recettori geografici</w:t>
            </w:r>
          </w:p>
        </w:tc>
      </w:tr>
      <w:tr>
        <w:trPr>
          <w:cantSplit w:val="true"/>
        </w:trPr>
        <w:tc>
          <w:tcPr>
            <w:tcW w:type="dxa" w:w="2948"/>
            <w:vAlign w:val="top"/>
          </w:tcPr>
          <w:p>
            <w:pPr>
              <w:spacing w:after="0" w:before="0"/>
            </w:pPr>
            <w:r>
              <w:rPr>
                <w:sz w:val="16"/>
              </w:rPr>
              <w:t>Target idrologici primari</w:t>
            </w:r>
          </w:p>
        </w:tc>
        <w:tc>
          <w:tcPr>
            <w:tcW w:type="dxa" w:w="2268"/>
            <w:vAlign w:val="top"/>
          </w:tcPr>
          <w:p>
            <w:pPr>
              <w:spacing w:after="0" w:before="0"/>
            </w:pPr>
            <w:r>
              <w:rPr>
                <w:sz w:val="16"/>
              </w:rPr>
              <w:t>CLOSED / CANONICAL</w:t>
            </w:r>
          </w:p>
        </w:tc>
        <w:tc>
          <w:tcPr>
            <w:tcW w:type="dxa" w:w="3969"/>
            <w:vAlign w:val="top"/>
          </w:tcPr>
          <w:p>
            <w:pPr>
              <w:spacing w:after="0" w:before="0"/>
            </w:pPr>
            <w:r>
              <w:rPr>
                <w:sz w:val="16"/>
              </w:rPr>
              <w:t>20 target/proxy; LIG_ENTELLA senza target</w:t>
            </w:r>
          </w:p>
        </w:tc>
      </w:tr>
      <w:tr>
        <w:trPr>
          <w:cantSplit w:val="true"/>
        </w:trPr>
        <w:tc>
          <w:tcPr>
            <w:tcW w:type="dxa" w:w="2948"/>
            <w:vAlign w:val="top"/>
          </w:tcPr>
          <w:p>
            <w:pPr>
              <w:spacing w:after="0" w:before="0"/>
            </w:pPr>
            <w:r>
              <w:rPr>
                <w:sz w:val="16"/>
              </w:rPr>
              <w:t>Label foldwise Q95</w:t>
            </w:r>
          </w:p>
        </w:tc>
        <w:tc>
          <w:tcPr>
            <w:tcW w:type="dxa" w:w="2268"/>
            <w:vAlign w:val="top"/>
          </w:tcPr>
          <w:p>
            <w:pPr>
              <w:spacing w:after="0" w:before="0"/>
            </w:pPr>
            <w:r>
              <w:rPr>
                <w:sz w:val="16"/>
              </w:rPr>
              <w:t>CLOSED / CANONICAL v1.3</w:t>
            </w:r>
          </w:p>
        </w:tc>
        <w:tc>
          <w:tcPr>
            <w:tcW w:type="dxa" w:w="3969"/>
            <w:vAlign w:val="top"/>
          </w:tcPr>
          <w:p>
            <w:pPr>
              <w:spacing w:after="0" w:before="0"/>
            </w:pPr>
            <w:r>
              <w:rPr>
                <w:sz w:val="16"/>
              </w:rPr>
              <w:t>263.520 righe FIT+VALIDATION+TEST</w:t>
            </w:r>
          </w:p>
        </w:tc>
      </w:tr>
      <w:tr>
        <w:trPr>
          <w:cantSplit w:val="true"/>
        </w:trPr>
        <w:tc>
          <w:tcPr>
            <w:tcW w:type="dxa" w:w="2948"/>
            <w:vAlign w:val="top"/>
          </w:tcPr>
          <w:p>
            <w:pPr>
              <w:spacing w:after="0" w:before="0"/>
            </w:pPr>
            <w:r>
              <w:rPr>
                <w:sz w:val="16"/>
              </w:rPr>
              <w:t>Whitelist dinamica</w:t>
            </w:r>
          </w:p>
        </w:tc>
        <w:tc>
          <w:tcPr>
            <w:tcW w:type="dxa" w:w="2268"/>
            <w:vAlign w:val="top"/>
          </w:tcPr>
          <w:p>
            <w:pPr>
              <w:spacing w:after="0" w:before="0"/>
            </w:pPr>
            <w:r>
              <w:rPr>
                <w:sz w:val="16"/>
              </w:rPr>
              <w:t>CLOSED / CANONICAL v1.3</w:t>
            </w:r>
          </w:p>
        </w:tc>
        <w:tc>
          <w:tcPr>
            <w:tcW w:type="dxa" w:w="3969"/>
            <w:vAlign w:val="top"/>
          </w:tcPr>
          <w:p>
            <w:pPr>
              <w:spacing w:after="0" w:before="0"/>
            </w:pPr>
            <w:r>
              <w:rPr>
                <w:sz w:val="16"/>
              </w:rPr>
              <w:t>83 feature dinamiche CORE</w:t>
            </w:r>
          </w:p>
        </w:tc>
      </w:tr>
      <w:tr>
        <w:trPr>
          <w:cantSplit w:val="true"/>
        </w:trPr>
        <w:tc>
          <w:tcPr>
            <w:tcW w:type="dxa" w:w="2948"/>
            <w:vAlign w:val="top"/>
          </w:tcPr>
          <w:p>
            <w:pPr>
              <w:spacing w:after="0" w:before="0"/>
            </w:pPr>
            <w:r>
              <w:rPr>
                <w:sz w:val="16"/>
              </w:rPr>
              <w:t>Whitelist statica</w:t>
            </w:r>
          </w:p>
        </w:tc>
        <w:tc>
          <w:tcPr>
            <w:tcW w:type="dxa" w:w="2268"/>
            <w:vAlign w:val="top"/>
          </w:tcPr>
          <w:p>
            <w:pPr>
              <w:spacing w:after="0" w:before="0"/>
            </w:pPr>
            <w:r>
              <w:rPr>
                <w:sz w:val="16"/>
              </w:rPr>
              <w:t>CLOSED / CANONICAL v1.1</w:t>
            </w:r>
          </w:p>
        </w:tc>
        <w:tc>
          <w:tcPr>
            <w:tcW w:type="dxa" w:w="3969"/>
            <w:vAlign w:val="top"/>
          </w:tcPr>
          <w:p>
            <w:pPr>
              <w:spacing w:after="0" w:before="0"/>
            </w:pPr>
            <w:r>
              <w:rPr>
                <w:sz w:val="16"/>
              </w:rPr>
              <w:t>14 descrittori statici</w:t>
            </w:r>
          </w:p>
        </w:tc>
      </w:tr>
      <w:tr>
        <w:trPr>
          <w:cantSplit w:val="true"/>
        </w:trPr>
        <w:tc>
          <w:tcPr>
            <w:tcW w:type="dxa" w:w="2948"/>
            <w:vAlign w:val="top"/>
          </w:tcPr>
          <w:p>
            <w:pPr>
              <w:spacing w:after="0" w:before="0"/>
            </w:pPr>
            <w:r>
              <w:rPr>
                <w:sz w:val="16"/>
              </w:rPr>
              <w:t>FASE 9 — Master CORE</w:t>
            </w:r>
          </w:p>
        </w:tc>
        <w:tc>
          <w:tcPr>
            <w:tcW w:type="dxa" w:w="2268"/>
            <w:vAlign w:val="top"/>
          </w:tcPr>
          <w:p>
            <w:pPr>
              <w:spacing w:after="0" w:before="0"/>
            </w:pPr>
            <w:r>
              <w:rPr>
                <w:sz w:val="16"/>
              </w:rPr>
              <w:t>CLOSED / CANONICAL v1.0</w:t>
            </w:r>
          </w:p>
        </w:tc>
        <w:tc>
          <w:tcPr>
            <w:tcW w:type="dxa" w:w="3969"/>
            <w:vAlign w:val="top"/>
          </w:tcPr>
          <w:p>
            <w:pPr>
              <w:spacing w:after="0" w:before="0"/>
            </w:pPr>
            <w:r>
              <w:rPr>
                <w:sz w:val="16"/>
              </w:rPr>
              <w:t>263.520 righe; 97 predittori; 3 label</w:t>
            </w:r>
          </w:p>
        </w:tc>
      </w:tr>
      <w:tr>
        <w:trPr>
          <w:cantSplit w:val="true"/>
        </w:trPr>
        <w:tc>
          <w:tcPr>
            <w:tcW w:type="dxa" w:w="2948"/>
            <w:vAlign w:val="top"/>
          </w:tcPr>
          <w:p>
            <w:pPr>
              <w:spacing w:after="0" w:before="0"/>
            </w:pPr>
            <w:r>
              <w:rPr>
                <w:sz w:val="16"/>
              </w:rPr>
              <w:t>FASE 10 — Modello CORE</w:t>
            </w:r>
          </w:p>
        </w:tc>
        <w:tc>
          <w:tcPr>
            <w:tcW w:type="dxa" w:w="2268"/>
            <w:vAlign w:val="top"/>
          </w:tcPr>
          <w:p>
            <w:pPr>
              <w:spacing w:after="0" w:before="0"/>
            </w:pPr>
            <w:r>
              <w:rPr>
                <w:sz w:val="16"/>
              </w:rPr>
              <w:t>CLOSED / FROZEN v1.2</w:t>
            </w:r>
          </w:p>
        </w:tc>
        <w:tc>
          <w:tcPr>
            <w:tcW w:type="dxa" w:w="3969"/>
            <w:vAlign w:val="top"/>
          </w:tcPr>
          <w:p>
            <w:pPr>
              <w:spacing w:after="0" w:before="0"/>
            </w:pPr>
            <w:r>
              <w:rPr>
                <w:sz w:val="16"/>
              </w:rPr>
              <w:t>HistGradientBoosting a 24/48/72 h</w:t>
            </w:r>
          </w:p>
        </w:tc>
      </w:tr>
      <w:tr>
        <w:trPr>
          <w:cantSplit w:val="true"/>
        </w:trPr>
        <w:tc>
          <w:tcPr>
            <w:tcW w:type="dxa" w:w="2948"/>
            <w:vAlign w:val="top"/>
          </w:tcPr>
          <w:p>
            <w:pPr>
              <w:spacing w:after="0" w:before="0"/>
            </w:pPr>
            <w:r>
              <w:rPr>
                <w:sz w:val="16"/>
              </w:rPr>
              <w:t>Final holdout 2023–2025</w:t>
            </w:r>
          </w:p>
        </w:tc>
        <w:tc>
          <w:tcPr>
            <w:tcW w:type="dxa" w:w="2268"/>
            <w:vAlign w:val="top"/>
          </w:tcPr>
          <w:p>
            <w:pPr>
              <w:spacing w:after="0" w:before="0"/>
            </w:pPr>
            <w:r>
              <w:rPr>
                <w:sz w:val="16"/>
              </w:rPr>
              <w:t>EVALUATED / FINAL</w:t>
            </w:r>
          </w:p>
        </w:tc>
        <w:tc>
          <w:tcPr>
            <w:tcW w:type="dxa" w:w="3969"/>
            <w:vAlign w:val="top"/>
          </w:tcPr>
          <w:p>
            <w:pPr>
              <w:spacing w:after="0" w:before="0"/>
            </w:pPr>
            <w:r>
              <w:rPr>
                <w:sz w:val="16"/>
              </w:rPr>
              <w:t>AP 0,409 / 0,336 / 0,291</w:t>
            </w:r>
          </w:p>
        </w:tc>
      </w:tr>
    </w:tbl>
    <w:p/>
    <w:p>
      <w:r>
        <w:rPr>
          <w:b/>
        </w:rPr>
        <w:t xml:space="preserve">Il punto metodologico più importante è il seguente: </w:t>
      </w:r>
      <w:r>
        <w:t>dopo la valutazione finale 2023–2025 non è più consentito modificare feature, modello, weighting, calibratore o soglie sulla base di quei risultati e continuare a chiamare lo stesso periodo “holdout indipendente”. Qualunque sviluppo ulteriore sarà una nuova analisi post-hoc e avrà bisogno di un nuovo periodo futuro indipendente.</w:t>
      </w:r>
    </w:p>
    <w:p>
      <w:pPr>
        <w:pStyle w:val="Heading1"/>
      </w:pPr>
      <w:r>
        <w:t>2. Obiettivo scientifico e architettura causale</w:t>
      </w:r>
    </w:p>
    <w:p>
      <w:r>
        <w:t>L’obiettivo generale è costruire un modello probabilistico regionale per Piemonte, Valle d’Aosta e Liguria che colleghi lo stato termico anomalo del Mediterraneo, il trasporto atmosferico di umidità, la precipitazione e lo stato antecedente del territorio alla successiva risposta idrologica. Il modello non assume a priori che un Mediterraneo più caldo produca automaticamente più pioggia o più alluvioni: le relazioni sono trattate come condizionate, potenzialmente non lineari e da stimare empiricamente.</w:t>
      </w:r>
    </w:p>
    <w:p>
      <w:pPr>
        <w:pStyle w:val="ListBullet"/>
        <w:spacing w:after="40"/>
      </w:pPr>
      <w:r>
        <w:t>Catena causale di riferimento: stato termico marino → disponibilità di vapore/scambio aria-mare → trasporto atmosferico (IVT) → convergenza e sollevamento/orografia → precipitazione → risposta del bacino → piena.</w:t>
      </w:r>
    </w:p>
    <w:p>
      <w:pPr>
        <w:pStyle w:val="ListBullet"/>
        <w:spacing w:after="40"/>
      </w:pPr>
      <w:r>
        <w:t>Il blocco marino usa SST e contenuto termico 0–100 m come stato del serbatoio termico, non come energia automaticamente trasferita all’atmosfera.</w:t>
      </w:r>
    </w:p>
    <w:p>
      <w:pPr>
        <w:pStyle w:val="ListBullet"/>
        <w:spacing w:after="40"/>
      </w:pPr>
      <w:r>
        <w:t>Il modello regionale è pooled/hierarchical: i 20 recettori con target condividono una struttura comune, mentre i descrittori statici permettono di rappresentarne differenze morfometriche e orografiche.</w:t>
      </w:r>
    </w:p>
    <w:p>
      <w:pPr>
        <w:pStyle w:val="ListBullet"/>
        <w:spacing w:after="40"/>
      </w:pPr>
      <w:r>
        <w:t>Previsione delle piene e gestione operativa di dighe/infrastrutture sono tenute separate. Le dighe possono essere sia fattore di rischio sia strumento di laminazione a seconda della capacità residua e delle regole operative.</w:t>
      </w:r>
    </w:p>
    <w:p>
      <w:pPr>
        <w:pStyle w:val="ListBullet"/>
        <w:spacing w:after="40"/>
      </w:pPr>
      <w:r>
        <w:t>Il ramo Tanaro–Arroscia è parallelo: riusa dati e metodologia ma risponde a una domanda ingegneristica distinta, cioè la prefattibilità di un collegamento idraulico interbacino controllato.</w:t>
      </w:r>
    </w:p>
    <w:p>
      <w:pPr>
        <w:pStyle w:val="Heading1"/>
      </w:pPr>
      <w:r>
        <w:t>3. Struttura informatica, ambienti e regole di riproducibilità</w:t>
      </w:r>
    </w:p>
    <w:p>
      <w:r>
        <w:t>Cartella radice del progetto:</w:t>
      </w:r>
    </w:p>
    <w:p>
      <w:pPr>
        <w:pStyle w:val="BodyText"/>
        <w:spacing w:before="40" w:after="80"/>
        <w:ind w:left="283" w:right="170"/>
      </w:pPr>
      <w:r>
        <w:rPr>
          <w:rFonts w:ascii="Courier New" w:hAnsi="Courier New"/>
          <w:sz w:val="17"/>
        </w:rPr>
        <w:t>/Users/giordana/Desktop/Progetti vari pratici/Clima/programma/MedSea_Copernicus_Pipeline_v1</w:t>
      </w:r>
    </w:p>
    <w:p>
      <w:r>
        <w:t>Ambienti principali:</w:t>
      </w:r>
    </w:p>
    <w:p>
      <w:pPr>
        <w:pStyle w:val="BodyText"/>
        <w:spacing w:before="40" w:after="80"/>
        <w:ind w:left="283" w:right="170"/>
      </w:pPr>
      <w:r>
        <w:rPr>
          <w:rFonts w:ascii="Courier New" w:hAnsi="Courier New"/>
          <w:sz w:val="17"/>
        </w:rPr>
        <w:t>/Users/giordana/Desktop/Progetti vari pratici/Clima/programma/.venv</w:t>
      </w:r>
    </w:p>
    <w:p>
      <w:pPr>
        <w:pStyle w:val="BodyText"/>
        <w:spacing w:before="40" w:after="80"/>
        <w:ind w:left="283" w:right="170"/>
      </w:pPr>
      <w:r>
        <w:rPr>
          <w:rFonts w:ascii="Courier New" w:hAnsi="Courier New"/>
          <w:sz w:val="17"/>
        </w:rPr>
        <w:t>/Users/giordana/Desktop/Progetti vari pratici/Clima/programma/.venv_terrain</w:t>
      </w:r>
    </w:p>
    <w:p>
      <w:pPr>
        <w:pStyle w:val="BodyText"/>
        <w:spacing w:before="40" w:after="80"/>
        <w:ind w:left="283" w:right="170"/>
      </w:pPr>
      <w:r>
        <w:rPr>
          <w:rFonts w:ascii="Courier New" w:hAnsi="Courier New"/>
          <w:sz w:val="17"/>
        </w:rPr>
        <w:t>/Users/giordana/Desktop/Progetti vari pratici/Clima/programma/.venv_glofas_audit</w:t>
      </w:r>
    </w:p>
    <w:p>
      <w:pPr>
        <w:pStyle w:val="ListBullet"/>
        <w:spacing w:after="40"/>
      </w:pPr>
      <w:r>
        <w:t>I dati raw non vengono sovrascritti. Ogni elaborazione produce una cartella versionata separata.</w:t>
      </w:r>
    </w:p>
    <w:p>
      <w:pPr>
        <w:pStyle w:val="ListBullet"/>
        <w:spacing w:after="40"/>
      </w:pPr>
      <w:r>
        <w:t>Gli script lunghi sono progettati con avanzamento esplicito, fasi, percentuale, tempo trascorso, velocità ed ETA quando calcolabile.</w:t>
      </w:r>
    </w:p>
    <w:p>
      <w:pPr>
        <w:pStyle w:val="ListBullet"/>
        <w:spacing w:after="40"/>
      </w:pPr>
      <w:r>
        <w:t>Gli audit sono parte della pipeline scientifica: un prodotto diventa canonico soltanto dopo controlli di struttura, duplicati, date, semantica temporale, completezza e leakage.</w:t>
      </w:r>
    </w:p>
    <w:p>
      <w:pPr>
        <w:pStyle w:val="ListBullet"/>
        <w:spacing w:after="40"/>
      </w:pPr>
      <w:r>
        <w:t>Le versioni intermedie non vengono pubblicate come pipeline definitiva. Il repository finale dovrà contenere soltanto script effettivamente usati o necessari alla riproducibilità.</w:t>
      </w:r>
    </w:p>
    <w:p>
      <w:pPr>
        <w:pStyle w:val="ListBullet"/>
        <w:spacing w:after="40"/>
      </w:pPr>
      <w:r>
        <w:t>Le credenziali e i token non fanno parte degli artefatti da pubblicare.</w:t>
      </w:r>
    </w:p>
    <w:p>
      <w:pPr>
        <w:pStyle w:val="Heading1"/>
      </w:pPr>
      <w:r>
        <w:t>4. Fonti dati e acquisizione</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cantSplit w:val="true"/>
        </w:trPr>
        <w:tc>
          <w:tcPr>
            <w:tcW w:type="dxa" w:w="1984"/>
            <w:shd w:fill="D9EAF7"/>
            <w:vAlign w:val="center"/>
          </w:tcPr>
          <w:p>
            <w:pPr>
              <w:jc w:val="center"/>
            </w:pPr>
            <w:r>
              <w:rPr>
                <w:b/>
                <w:sz w:val="15"/>
              </w:rPr>
              <w:t>Fonte / provider</w:t>
            </w:r>
          </w:p>
        </w:tc>
        <w:tc>
          <w:tcPr>
            <w:tcW w:type="dxa" w:w="2381"/>
            <w:shd w:fill="D9EAF7"/>
            <w:vAlign w:val="center"/>
          </w:tcPr>
          <w:p>
            <w:pPr>
              <w:jc w:val="center"/>
            </w:pPr>
            <w:r>
              <w:rPr>
                <w:b/>
                <w:sz w:val="15"/>
              </w:rPr>
              <w:t>Prodotto</w:t>
            </w:r>
          </w:p>
        </w:tc>
        <w:tc>
          <w:tcPr>
            <w:tcW w:type="dxa" w:w="2381"/>
            <w:shd w:fill="D9EAF7"/>
            <w:vAlign w:val="center"/>
          </w:tcPr>
          <w:p>
            <w:pPr>
              <w:jc w:val="center"/>
            </w:pPr>
            <w:r>
              <w:rPr>
                <w:b/>
                <w:sz w:val="15"/>
              </w:rPr>
              <w:t>Periodo / dominio</w:t>
            </w:r>
          </w:p>
        </w:tc>
        <w:tc>
          <w:tcPr>
            <w:tcW w:type="dxa" w:w="2948"/>
            <w:shd w:fill="D9EAF7"/>
            <w:vAlign w:val="center"/>
          </w:tcPr>
          <w:p>
            <w:pPr>
              <w:jc w:val="center"/>
            </w:pPr>
            <w:r>
              <w:rPr>
                <w:b/>
                <w:sz w:val="15"/>
              </w:rPr>
              <w:t>Uso nel progetto</w:t>
            </w:r>
          </w:p>
        </w:tc>
      </w:tr>
      <w:tr>
        <w:trPr>
          <w:cantSplit w:val="true"/>
        </w:trPr>
        <w:tc>
          <w:tcPr>
            <w:tcW w:type="dxa" w:w="1984"/>
            <w:vAlign w:val="top"/>
          </w:tcPr>
          <w:p>
            <w:pPr>
              <w:spacing w:after="0" w:before="0"/>
            </w:pPr>
            <w:r>
              <w:rPr>
                <w:sz w:val="15"/>
              </w:rPr>
              <w:t>Copernicus Marine</w:t>
            </w:r>
          </w:p>
        </w:tc>
        <w:tc>
          <w:tcPr>
            <w:tcW w:type="dxa" w:w="2381"/>
            <w:vAlign w:val="top"/>
          </w:tcPr>
          <w:p>
            <w:pPr>
              <w:spacing w:after="0" w:before="0"/>
            </w:pPr>
            <w:r>
              <w:rPr>
                <w:sz w:val="15"/>
              </w:rPr>
              <w:t>Mediterranean Sea Physics: thetao, statici e grid metrics</w:t>
            </w:r>
          </w:p>
        </w:tc>
        <w:tc>
          <w:tcPr>
            <w:tcW w:type="dxa" w:w="2381"/>
            <w:vAlign w:val="top"/>
          </w:tcPr>
          <w:p>
            <w:pPr>
              <w:spacing w:after="0" w:before="0"/>
            </w:pPr>
            <w:r>
              <w:rPr>
                <w:sz w:val="15"/>
              </w:rPr>
              <w:t>1987–2025 Sep–Dec; blocco 2026 separato</w:t>
            </w:r>
          </w:p>
        </w:tc>
        <w:tc>
          <w:tcPr>
            <w:tcW w:type="dxa" w:w="2948"/>
            <w:vAlign w:val="top"/>
          </w:tcPr>
          <w:p>
            <w:pPr>
              <w:spacing w:after="0" w:before="0"/>
            </w:pPr>
            <w:r>
              <w:rPr>
                <w:sz w:val="15"/>
              </w:rPr>
              <w:t>SST, OHC 0–100 m, anomalie e coupling con IVT</w:t>
            </w:r>
          </w:p>
        </w:tc>
      </w:tr>
      <w:tr>
        <w:trPr>
          <w:cantSplit w:val="true"/>
        </w:trPr>
        <w:tc>
          <w:tcPr>
            <w:tcW w:type="dxa" w:w="1984"/>
            <w:vAlign w:val="top"/>
          </w:tcPr>
          <w:p>
            <w:pPr>
              <w:spacing w:after="0" w:before="0"/>
            </w:pPr>
            <w:r>
              <w:rPr>
                <w:sz w:val="15"/>
              </w:rPr>
              <w:t>ECMWF / Copernicus ERA5</w:t>
            </w:r>
          </w:p>
        </w:tc>
        <w:tc>
          <w:tcPr>
            <w:tcW w:type="dxa" w:w="2381"/>
            <w:vAlign w:val="top"/>
          </w:tcPr>
          <w:p>
            <w:pPr>
              <w:spacing w:after="0" w:before="0"/>
            </w:pPr>
            <w:r>
              <w:rPr>
                <w:sz w:val="15"/>
              </w:rPr>
              <w:t>Pressure levels + single levels</w:t>
            </w:r>
          </w:p>
        </w:tc>
        <w:tc>
          <w:tcPr>
            <w:tcW w:type="dxa" w:w="2381"/>
            <w:vAlign w:val="top"/>
          </w:tcPr>
          <w:p>
            <w:pPr>
              <w:spacing w:after="0" w:before="0"/>
            </w:pPr>
            <w:r>
              <w:rPr>
                <w:sz w:val="15"/>
              </w:rPr>
              <w:t>1987–2025 Sep–Dec; evento 10–18 ottobre 2000</w:t>
            </w:r>
          </w:p>
        </w:tc>
        <w:tc>
          <w:tcPr>
            <w:tcW w:type="dxa" w:w="2948"/>
            <w:vAlign w:val="top"/>
          </w:tcPr>
          <w:p>
            <w:pPr>
              <w:spacing w:after="0" w:before="0"/>
            </w:pPr>
            <w:r>
              <w:rPr>
                <w:sz w:val="15"/>
              </w:rPr>
              <w:t>Stato atmosferico, IVT, precipitazione, suolo, vento, pressione, antecedenti</w:t>
            </w:r>
          </w:p>
        </w:tc>
      </w:tr>
      <w:tr>
        <w:trPr>
          <w:cantSplit w:val="true"/>
        </w:trPr>
        <w:tc>
          <w:tcPr>
            <w:tcW w:type="dxa" w:w="1984"/>
            <w:vAlign w:val="top"/>
          </w:tcPr>
          <w:p>
            <w:pPr>
              <w:spacing w:after="0" w:before="0"/>
            </w:pPr>
            <w:r>
              <w:rPr>
                <w:sz w:val="15"/>
              </w:rPr>
              <w:t>CEMS GLoFAS</w:t>
            </w:r>
          </w:p>
        </w:tc>
        <w:tc>
          <w:tcPr>
            <w:tcW w:type="dxa" w:w="2381"/>
            <w:vAlign w:val="top"/>
          </w:tcPr>
          <w:p>
            <w:pPr>
              <w:spacing w:after="0" w:before="0"/>
            </w:pPr>
            <w:r>
              <w:rPr>
                <w:sz w:val="15"/>
              </w:rPr>
              <w:t>Historical river discharge v4.0</w:t>
            </w:r>
          </w:p>
        </w:tc>
        <w:tc>
          <w:tcPr>
            <w:tcW w:type="dxa" w:w="2381"/>
            <w:vAlign w:val="top"/>
          </w:tcPr>
          <w:p>
            <w:pPr>
              <w:spacing w:after="0" w:before="0"/>
            </w:pPr>
            <w:r>
              <w:rPr>
                <w:sz w:val="15"/>
              </w:rPr>
              <w:t>1987–2025 Sep–Dec, Tanaro–Arroscia</w:t>
            </w:r>
          </w:p>
        </w:tc>
        <w:tc>
          <w:tcPr>
            <w:tcW w:type="dxa" w:w="2948"/>
            <w:vAlign w:val="top"/>
          </w:tcPr>
          <w:p>
            <w:pPr>
              <w:spacing w:after="0" w:before="0"/>
            </w:pPr>
            <w:r>
              <w:rPr>
                <w:sz w:val="15"/>
              </w:rPr>
              <w:t>Screening idrologico e ramo Tanaro–Arroscia</w:t>
            </w:r>
          </w:p>
        </w:tc>
      </w:tr>
      <w:tr>
        <w:trPr>
          <w:cantSplit w:val="true"/>
        </w:trPr>
        <w:tc>
          <w:tcPr>
            <w:tcW w:type="dxa" w:w="1984"/>
            <w:vAlign w:val="top"/>
          </w:tcPr>
          <w:p>
            <w:pPr>
              <w:spacing w:after="0" w:before="0"/>
            </w:pPr>
            <w:r>
              <w:rPr>
                <w:sz w:val="15"/>
              </w:rPr>
              <w:t>ARPA Piemonte</w:t>
            </w:r>
          </w:p>
        </w:tc>
        <w:tc>
          <w:tcPr>
            <w:tcW w:type="dxa" w:w="2381"/>
            <w:vAlign w:val="top"/>
          </w:tcPr>
          <w:p>
            <w:pPr>
              <w:spacing w:after="0" w:before="0"/>
            </w:pPr>
            <w:r>
              <w:rPr>
                <w:sz w:val="15"/>
              </w:rPr>
              <w:t>Banca Dati Storica meteo-idro-nivologica</w:t>
            </w:r>
          </w:p>
        </w:tc>
        <w:tc>
          <w:tcPr>
            <w:tcW w:type="dxa" w:w="2381"/>
            <w:vAlign w:val="top"/>
          </w:tcPr>
          <w:p>
            <w:pPr>
              <w:spacing w:after="0" w:before="0"/>
            </w:pPr>
            <w:r>
              <w:rPr>
                <w:sz w:val="15"/>
              </w:rPr>
              <w:t>Serie regionali storiche</w:t>
            </w:r>
          </w:p>
        </w:tc>
        <w:tc>
          <w:tcPr>
            <w:tcW w:type="dxa" w:w="2948"/>
            <w:vAlign w:val="top"/>
          </w:tcPr>
          <w:p>
            <w:pPr>
              <w:spacing w:after="0" w:before="0"/>
            </w:pPr>
            <w:r>
              <w:rPr>
                <w:sz w:val="15"/>
              </w:rPr>
              <w:t>Osservazioni, target idrologici, meteo osservata, soglie operative correnti</w:t>
            </w:r>
          </w:p>
        </w:tc>
      </w:tr>
      <w:tr>
        <w:trPr>
          <w:cantSplit w:val="true"/>
        </w:trPr>
        <w:tc>
          <w:tcPr>
            <w:tcW w:type="dxa" w:w="1984"/>
            <w:vAlign w:val="top"/>
          </w:tcPr>
          <w:p>
            <w:pPr>
              <w:spacing w:after="0" w:before="0"/>
            </w:pPr>
            <w:r>
              <w:rPr>
                <w:sz w:val="15"/>
              </w:rPr>
              <w:t>Regione Valle d’Aosta / Centro Funzionale</w:t>
            </w:r>
          </w:p>
        </w:tc>
        <w:tc>
          <w:tcPr>
            <w:tcW w:type="dxa" w:w="2381"/>
            <w:vAlign w:val="top"/>
          </w:tcPr>
          <w:p>
            <w:pPr>
              <w:spacing w:after="0" w:before="0"/>
            </w:pPr>
            <w:r>
              <w:rPr>
                <w:sz w:val="15"/>
              </w:rPr>
              <w:t>Dataview / pacchetti ZIP</w:t>
            </w:r>
          </w:p>
        </w:tc>
        <w:tc>
          <w:tcPr>
            <w:tcW w:type="dxa" w:w="2381"/>
            <w:vAlign w:val="top"/>
          </w:tcPr>
          <w:p>
            <w:pPr>
              <w:spacing w:after="0" w:before="0"/>
            </w:pPr>
            <w:r>
              <w:rPr>
                <w:sz w:val="15"/>
              </w:rPr>
              <w:t>Serie storiche</w:t>
            </w:r>
          </w:p>
        </w:tc>
        <w:tc>
          <w:tcPr>
            <w:tcW w:type="dxa" w:w="2948"/>
            <w:vAlign w:val="top"/>
          </w:tcPr>
          <w:p>
            <w:pPr>
              <w:spacing w:after="0" w:before="0"/>
            </w:pPr>
            <w:r>
              <w:rPr>
                <w:sz w:val="15"/>
              </w:rPr>
              <w:t>Osservazioni regionali</w:t>
            </w:r>
          </w:p>
        </w:tc>
      </w:tr>
      <w:tr>
        <w:trPr>
          <w:cantSplit w:val="true"/>
        </w:trPr>
        <w:tc>
          <w:tcPr>
            <w:tcW w:type="dxa" w:w="1984"/>
            <w:vAlign w:val="top"/>
          </w:tcPr>
          <w:p>
            <w:pPr>
              <w:spacing w:after="0" w:before="0"/>
            </w:pPr>
            <w:r>
              <w:rPr>
                <w:sz w:val="15"/>
              </w:rPr>
              <w:t>Regione Liguria / ARPAL</w:t>
            </w:r>
          </w:p>
        </w:tc>
        <w:tc>
          <w:tcPr>
            <w:tcW w:type="dxa" w:w="2381"/>
            <w:vAlign w:val="top"/>
          </w:tcPr>
          <w:p>
            <w:pPr>
              <w:spacing w:after="0" w:before="0"/>
            </w:pPr>
            <w:r>
              <w:rPr>
                <w:sz w:val="15"/>
              </w:rPr>
              <w:t>OMIRL / SiraQualMeteo</w:t>
            </w:r>
          </w:p>
        </w:tc>
        <w:tc>
          <w:tcPr>
            <w:tcW w:type="dxa" w:w="2381"/>
            <w:vAlign w:val="top"/>
          </w:tcPr>
          <w:p>
            <w:pPr>
              <w:spacing w:after="0" w:before="0"/>
            </w:pPr>
            <w:r>
              <w:rPr>
                <w:sz w:val="15"/>
              </w:rPr>
              <w:t>Serie storiche</w:t>
            </w:r>
          </w:p>
        </w:tc>
        <w:tc>
          <w:tcPr>
            <w:tcW w:type="dxa" w:w="2948"/>
            <w:vAlign w:val="top"/>
          </w:tcPr>
          <w:p>
            <w:pPr>
              <w:spacing w:after="0" w:before="0"/>
            </w:pPr>
            <w:r>
              <w:rPr>
                <w:sz w:val="15"/>
              </w:rPr>
              <w:t>Osservazioni regionali e livelli idrometrici</w:t>
            </w:r>
          </w:p>
        </w:tc>
      </w:tr>
      <w:tr>
        <w:trPr>
          <w:cantSplit w:val="true"/>
        </w:trPr>
        <w:tc>
          <w:tcPr>
            <w:tcW w:type="dxa" w:w="1984"/>
            <w:vAlign w:val="top"/>
          </w:tcPr>
          <w:p>
            <w:pPr>
              <w:spacing w:after="0" w:before="0"/>
            </w:pPr>
            <w:r>
              <w:rPr>
                <w:sz w:val="15"/>
              </w:rPr>
              <w:t>Copernicus DEM GLO-30</w:t>
            </w:r>
          </w:p>
        </w:tc>
        <w:tc>
          <w:tcPr>
            <w:tcW w:type="dxa" w:w="2381"/>
            <w:vAlign w:val="top"/>
          </w:tcPr>
          <w:p>
            <w:pPr>
              <w:spacing w:after="0" w:before="0"/>
            </w:pPr>
            <w:r>
              <w:rPr>
                <w:sz w:val="15"/>
              </w:rPr>
              <w:t>DSM globale ~30 m</w:t>
            </w:r>
          </w:p>
        </w:tc>
        <w:tc>
          <w:tcPr>
            <w:tcW w:type="dxa" w:w="2381"/>
            <w:vAlign w:val="top"/>
          </w:tcPr>
          <w:p>
            <w:pPr>
              <w:spacing w:after="0" w:before="0"/>
            </w:pPr>
            <w:r>
              <w:rPr>
                <w:sz w:val="15"/>
              </w:rPr>
              <w:t>21 recettori NW</w:t>
            </w:r>
          </w:p>
        </w:tc>
        <w:tc>
          <w:tcPr>
            <w:tcW w:type="dxa" w:w="2948"/>
            <w:vAlign w:val="top"/>
          </w:tcPr>
          <w:p>
            <w:pPr>
              <w:spacing w:after="0" w:before="0"/>
            </w:pPr>
            <w:r>
              <w:rPr>
                <w:sz w:val="15"/>
              </w:rPr>
              <w:t>Orografia e morfometria regionale</w:t>
            </w:r>
          </w:p>
        </w:tc>
      </w:tr>
    </w:tbl>
    <w:p/>
    <w:p>
      <w:pPr>
        <w:pStyle w:val="Heading2"/>
      </w:pPr>
      <w:r>
        <w:t>4.1 Mediterraneo 2026 e storico 1987–2025</w:t>
      </w:r>
    </w:p>
    <w:p>
      <w:r>
        <w:t>Il blocco mare è stato costruito in due parti. Il blocco 2026 descriveva lo stato reale iniziale del Mediterraneo fino al 16 agosto 2026; il blocco storico 1987–2025 è invece quello usato per l’analisi climatologica e per le feature storiche del modello.</w:t>
      </w:r>
    </w:p>
    <w:p>
      <w:pPr>
        <w:pStyle w:val="ListBullet"/>
        <w:spacing w:after="40"/>
      </w:pPr>
      <w:r>
        <w:t>Blocco 2026: 77 giorni, griglia 276×385, 25 livelli fino a circa 105 m, integrazione OHC troncata geometricamente a 100 m; vertical closure PASS.</w:t>
      </w:r>
    </w:p>
    <w:p>
      <w:pPr>
        <w:pStyle w:val="ListBullet"/>
        <w:spacing w:after="40"/>
      </w:pPr>
      <w:r>
        <w:t>Blocco storico: 39 anni, settembre–dicembre; 4.758 giorni SST e 156 mesi OHC.</w:t>
      </w:r>
    </w:p>
    <w:p>
      <w:pPr>
        <w:pStyle w:val="ListBullet"/>
        <w:spacing w:after="40"/>
      </w:pPr>
      <w:r>
        <w:t>Climatologia SST: baseline esplicita 1991–2020 per giorno calendario. Climatologia OHC: baseline 1991–2020 per mese.</w:t>
      </w:r>
    </w:p>
    <w:p>
      <w:pPr>
        <w:pStyle w:val="ListBullet"/>
        <w:spacing w:after="40"/>
      </w:pPr>
      <w:r>
        <w:t>Le anomalie sulla baseline chiudono numericamente intorno a zero; nessuna imputazione arbitraria dei missing marini costieri.</w:t>
      </w:r>
    </w:p>
    <w:p>
      <w:pPr>
        <w:pStyle w:val="BodyText"/>
        <w:spacing w:before="40" w:after="80"/>
        <w:ind w:left="283" w:right="170"/>
      </w:pPr>
      <w:r>
        <w:rPr>
          <w:rFonts w:ascii="Courier New" w:hAnsi="Courier New"/>
          <w:sz w:val="17"/>
        </w:rPr>
        <w:t>medsea_historical_analysis/medsea_daily_sst_summary_1987_2025.csv</w:t>
      </w:r>
    </w:p>
    <w:p>
      <w:pPr>
        <w:pStyle w:val="BodyText"/>
        <w:spacing w:before="40" w:after="80"/>
        <w:ind w:left="283" w:right="170"/>
      </w:pPr>
      <w:r>
        <w:rPr>
          <w:rFonts w:ascii="Courier New" w:hAnsi="Courier New"/>
          <w:sz w:val="17"/>
        </w:rPr>
        <w:t>medsea_historical_analysis/medsea_monthly_ohc_summary_1987_2025.csv</w:t>
      </w:r>
    </w:p>
    <w:p>
      <w:pPr>
        <w:pStyle w:val="Heading2"/>
      </w:pPr>
      <w:r>
        <w:t>4.2 ERA5: evento 2000, storico e feature giornaliere</w:t>
      </w:r>
    </w:p>
    <w:p>
      <w:r>
        <w:t>L’evento di ottobre 2000 è stato utilizzato come caso di calibrazione e controllo dell’integrazione IVT. Successivamente è stato completato il download storico settembre–dicembre 1987–2025 e sono state prodotte feature giornaliere per tutti i 21 recettori.</w:t>
      </w:r>
    </w:p>
    <w:p>
      <w:pPr>
        <w:pStyle w:val="ListBullet"/>
        <w:spacing w:after="40"/>
      </w:pPr>
      <w:r>
        <w:t>Audit raw storico: CLOSED / PASS, 624 file attesi e verificati.</w:t>
      </w:r>
    </w:p>
    <w:p>
      <w:pPr>
        <w:pStyle w:val="ListBullet"/>
        <w:spacing w:after="40"/>
      </w:pPr>
      <w:r>
        <w:t>Tabella base giornaliera ai recettori: 99.918 righe = 21 recettori × 4.758 date.</w:t>
      </w:r>
    </w:p>
    <w:p>
      <w:pPr>
        <w:pStyle w:val="ListBullet"/>
        <w:spacing w:after="40"/>
      </w:pPr>
      <w:r>
        <w:t>Tabella derivata causale: 99.918 righe, con antecedenti e feature atmosferiche derivate.</w:t>
      </w:r>
    </w:p>
    <w:p>
      <w:pPr>
        <w:pStyle w:val="ListBullet"/>
        <w:spacing w:after="40"/>
      </w:pPr>
      <w:r>
        <w:t>Nessun bridging dicembre→settembre per le finestre antecedenti: i NaN di inizio settembre sono missing strutturali e rimangono tali.</w:t>
      </w:r>
    </w:p>
    <w:p>
      <w:pPr>
        <w:pStyle w:val="ListBullet"/>
        <w:spacing w:after="40"/>
      </w:pPr>
      <w:r>
        <w:t>ERA5 è reanalysis/hindcast. Per un sistema operativo reale dovrà essere sostituito o mappato a un’analisi/NWP disponibile al tempo di emissione.</w:t>
      </w:r>
    </w:p>
    <w:p>
      <w:pPr>
        <w:pStyle w:val="BodyText"/>
        <w:spacing w:before="40" w:after="80"/>
        <w:ind w:left="283" w:right="170"/>
      </w:pPr>
      <w:r>
        <w:rPr>
          <w:rFonts w:ascii="Courier New" w:hAnsi="Courier New"/>
          <w:sz w:val="17"/>
        </w:rPr>
        <w:t>era5_historical_nw/basin_features_historical_v1_0/era5_basin_features_daily_1987_2025_v1_0.csv</w:t>
      </w:r>
    </w:p>
    <w:p>
      <w:pPr>
        <w:pStyle w:val="BodyText"/>
        <w:spacing w:before="40" w:after="80"/>
        <w:ind w:left="283" w:right="170"/>
      </w:pPr>
      <w:r>
        <w:rPr>
          <w:rFonts w:ascii="Courier New" w:hAnsi="Courier New"/>
          <w:sz w:val="17"/>
        </w:rPr>
        <w:t>era5_historical_nw/basin_features_derived_v1_0/era5_basin_features_daily_derived_1987_2025_v1_0.csv</w:t>
      </w:r>
    </w:p>
    <w:p>
      <w:pPr>
        <w:pStyle w:val="Heading1"/>
      </w:pPr>
      <w:r>
        <w:t>5. Recettori regionali e geometrie</w:t>
      </w:r>
    </w:p>
    <w:p>
      <w:r>
        <w:t>Sono stati costruiti 21 recettori idrometeorologici finali, utilizzati per aggregare ERA5, MedSea–IVT e osservazioni. Sono unità modellistiche regionali e non vengono automaticamente interpretati come perfette chiusure fisiche di una singola sezione idrometrica.</w:t>
      </w:r>
    </w:p>
    <w:p>
      <w:pPr>
        <w:pStyle w:val="ListBullet"/>
        <w:spacing w:after="40"/>
      </w:pPr>
      <w:r>
        <w:t>NW_DORA_RIPARIA</w:t>
      </w:r>
    </w:p>
    <w:p>
      <w:pPr>
        <w:pStyle w:val="ListBullet"/>
        <w:spacing w:after="40"/>
      </w:pPr>
      <w:r>
        <w:t>NW_STURA_LANZO</w:t>
      </w:r>
    </w:p>
    <w:p>
      <w:pPr>
        <w:pStyle w:val="ListBullet"/>
        <w:spacing w:after="40"/>
      </w:pPr>
      <w:r>
        <w:t>NW_STURA_DEMONTE</w:t>
      </w:r>
    </w:p>
    <w:p>
      <w:pPr>
        <w:pStyle w:val="ListBullet"/>
        <w:spacing w:after="40"/>
      </w:pPr>
      <w:r>
        <w:t>NW_TANARO_ALTO</w:t>
      </w:r>
    </w:p>
    <w:p>
      <w:pPr>
        <w:pStyle w:val="ListBullet"/>
        <w:spacing w:after="40"/>
      </w:pPr>
      <w:r>
        <w:t>NW_TANARO_MEDIO_BASSO</w:t>
      </w:r>
    </w:p>
    <w:p>
      <w:pPr>
        <w:pStyle w:val="ListBullet"/>
        <w:spacing w:after="40"/>
      </w:pPr>
      <w:r>
        <w:t>NW_BORMIDA</w:t>
      </w:r>
    </w:p>
    <w:p>
      <w:pPr>
        <w:pStyle w:val="ListBullet"/>
        <w:spacing w:after="40"/>
      </w:pPr>
      <w:r>
        <w:t>NW_ORBA</w:t>
      </w:r>
    </w:p>
    <w:p>
      <w:pPr>
        <w:pStyle w:val="ListBullet"/>
        <w:spacing w:after="40"/>
      </w:pPr>
      <w:r>
        <w:t>NW_SCRIVIA</w:t>
      </w:r>
    </w:p>
    <w:p>
      <w:pPr>
        <w:pStyle w:val="ListBullet"/>
        <w:spacing w:after="40"/>
      </w:pPr>
      <w:r>
        <w:t>NW_DORA_BALTEA</w:t>
      </w:r>
    </w:p>
    <w:p>
      <w:pPr>
        <w:pStyle w:val="ListBullet"/>
        <w:spacing w:after="40"/>
      </w:pPr>
      <w:r>
        <w:t>NW_ORCO</w:t>
      </w:r>
    </w:p>
    <w:p>
      <w:pPr>
        <w:pStyle w:val="ListBullet"/>
        <w:spacing w:after="40"/>
      </w:pPr>
      <w:r>
        <w:t>NW_PELLICE</w:t>
      </w:r>
    </w:p>
    <w:p>
      <w:pPr>
        <w:pStyle w:val="ListBullet"/>
        <w:spacing w:after="40"/>
      </w:pPr>
      <w:r>
        <w:t>NW_CHISONE</w:t>
      </w:r>
    </w:p>
    <w:p>
      <w:pPr>
        <w:pStyle w:val="ListBullet"/>
        <w:spacing w:after="40"/>
      </w:pPr>
      <w:r>
        <w:t>NW_MAIRA</w:t>
      </w:r>
    </w:p>
    <w:p>
      <w:pPr>
        <w:pStyle w:val="ListBullet"/>
        <w:spacing w:after="40"/>
      </w:pPr>
      <w:r>
        <w:t>NW_VARAITA</w:t>
      </w:r>
    </w:p>
    <w:p>
      <w:pPr>
        <w:pStyle w:val="ListBullet"/>
        <w:spacing w:after="40"/>
      </w:pPr>
      <w:r>
        <w:t>NW_SESIA</w:t>
      </w:r>
    </w:p>
    <w:p>
      <w:pPr>
        <w:pStyle w:val="ListBullet"/>
        <w:spacing w:after="40"/>
      </w:pPr>
      <w:r>
        <w:t>NW_TOCE</w:t>
      </w:r>
    </w:p>
    <w:p>
      <w:pPr>
        <w:pStyle w:val="ListBullet"/>
        <w:spacing w:after="40"/>
      </w:pPr>
      <w:r>
        <w:t>LIG_BISAGNO</w:t>
      </w:r>
    </w:p>
    <w:p>
      <w:pPr>
        <w:pStyle w:val="ListBullet"/>
        <w:spacing w:after="40"/>
      </w:pPr>
      <w:r>
        <w:t>LIG_POLCEVERA</w:t>
      </w:r>
    </w:p>
    <w:p>
      <w:pPr>
        <w:pStyle w:val="ListBullet"/>
        <w:spacing w:after="40"/>
      </w:pPr>
      <w:r>
        <w:t>LIG_ENTELLA</w:t>
      </w:r>
    </w:p>
    <w:p>
      <w:pPr>
        <w:pStyle w:val="ListBullet"/>
        <w:spacing w:after="40"/>
      </w:pPr>
      <w:r>
        <w:t>LIG_MAGRA</w:t>
      </w:r>
    </w:p>
    <w:p>
      <w:pPr>
        <w:pStyle w:val="ListBullet"/>
        <w:spacing w:after="40"/>
      </w:pPr>
      <w:r>
        <w:t>LIG_CENTA</w:t>
      </w:r>
    </w:p>
    <w:p>
      <w:pPr>
        <w:pStyle w:val="BodyText"/>
        <w:spacing w:before="40" w:after="80"/>
        <w:ind w:left="283" w:right="170"/>
      </w:pPr>
      <w:r>
        <w:rPr>
          <w:rFonts w:ascii="Courier New" w:hAnsi="Courier New"/>
          <w:sz w:val="17"/>
        </w:rPr>
        <w:t>basins_final/nw_receptors_final.geojson</w:t>
      </w:r>
    </w:p>
    <w:p>
      <w:pPr>
        <w:pStyle w:val="BodyText"/>
        <w:spacing w:before="40" w:after="80"/>
        <w:ind w:left="283" w:right="170"/>
      </w:pPr>
      <w:r>
        <w:rPr>
          <w:rFonts w:ascii="Courier New" w:hAnsi="Courier New"/>
          <w:sz w:val="17"/>
        </w:rPr>
        <w:t>basins_final/nw_receptors_final.csv</w:t>
      </w:r>
    </w:p>
    <w:tbl>
      <w:tblPr>
        <w:tblStyle w:val="TableGrid"/>
        <w:tblW w:type="auto" w:w="0"/>
        <w:jc w:val="center"/>
        <w:tblLook w:firstColumn="1" w:firstRow="1" w:lastColumn="0" w:lastRow="0" w:noHBand="0" w:noVBand="1" w:val="04A0"/>
      </w:tblPr>
      <w:tblGrid>
        <w:gridCol w:w="9858"/>
      </w:tblGrid>
      <w:tr>
        <w:tc>
          <w:tcPr>
            <w:tcW w:type="dxa" w:w="9858"/>
            <w:shd w:fill="F3F6F8"/>
          </w:tcPr>
          <w:p>
            <w:pPr>
              <w:spacing w:after="0"/>
            </w:pPr>
            <w:r>
              <w:rPr>
                <w:b/>
              </w:rPr>
              <w:t xml:space="preserve">Nota — </w:t>
            </w:r>
            <w:r>
              <w:t>LIG_ENTELLA è presente nel registro statico dei 21 recettori ma non ha ancora un target idrologico primario canonico; per questo il modello supervisionato finale usa 20 recettori.</w:t>
            </w:r>
          </w:p>
        </w:tc>
      </w:tr>
    </w:tbl>
    <w:p/>
    <w:p>
      <w:pPr>
        <w:pStyle w:val="Heading1"/>
      </w:pPr>
      <w:r>
        <w:t>6. Osservazioni regionali: acquisizione, standardizzazione e QC</w:t>
      </w:r>
    </w:p>
    <w:p>
      <w:r>
        <w:t>La costruzione del modello ha richiesto una vera pipeline interregionale, perché Piemonte, Valle d’Aosta e Liguria espongono dati con formati, convenzioni e meccanismi di accesso differenti. Il lavoro non si è limitato al download: sono stati costruiti registry, manifest, layer di valori standardizzati, semantica temporale e layer giornalieri.</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cantSplit w:val="true"/>
        </w:trPr>
        <w:tc>
          <w:tcPr>
            <w:tcW w:type="dxa" w:w="1701"/>
            <w:shd w:fill="D9EAF7"/>
            <w:vAlign w:val="center"/>
          </w:tcPr>
          <w:p>
            <w:pPr>
              <w:jc w:val="center"/>
            </w:pPr>
            <w:r>
              <w:rPr>
                <w:b/>
                <w:sz w:val="16"/>
              </w:rPr>
              <w:t>Regione</w:t>
            </w:r>
          </w:p>
        </w:tc>
        <w:tc>
          <w:tcPr>
            <w:tcW w:type="dxa" w:w="1984"/>
            <w:shd w:fill="D9EAF7"/>
            <w:vAlign w:val="center"/>
          </w:tcPr>
          <w:p>
            <w:pPr>
              <w:jc w:val="center"/>
            </w:pPr>
            <w:r>
              <w:rPr>
                <w:b/>
                <w:sz w:val="16"/>
              </w:rPr>
              <w:t>Unità/serie</w:t>
            </w:r>
          </w:p>
        </w:tc>
        <w:tc>
          <w:tcPr>
            <w:tcW w:type="dxa" w:w="2835"/>
            <w:shd w:fill="D9EAF7"/>
            <w:vAlign w:val="center"/>
          </w:tcPr>
          <w:p>
            <w:pPr>
              <w:jc w:val="center"/>
            </w:pPr>
            <w:r>
              <w:rPr>
                <w:b/>
                <w:sz w:val="16"/>
              </w:rPr>
              <w:t>Esito principale</w:t>
            </w:r>
          </w:p>
        </w:tc>
        <w:tc>
          <w:tcPr>
            <w:tcW w:type="dxa" w:w="3118"/>
            <w:shd w:fill="D9EAF7"/>
            <w:vAlign w:val="center"/>
          </w:tcPr>
          <w:p>
            <w:pPr>
              <w:jc w:val="center"/>
            </w:pPr>
            <w:r>
              <w:rPr>
                <w:b/>
                <w:sz w:val="16"/>
              </w:rPr>
              <w:t>Nota</w:t>
            </w:r>
          </w:p>
        </w:tc>
      </w:tr>
      <w:tr>
        <w:trPr>
          <w:cantSplit w:val="true"/>
        </w:trPr>
        <w:tc>
          <w:tcPr>
            <w:tcW w:type="dxa" w:w="1701"/>
            <w:vAlign w:val="top"/>
          </w:tcPr>
          <w:p>
            <w:pPr>
              <w:spacing w:after="0" w:before="0"/>
            </w:pPr>
            <w:r>
              <w:rPr>
                <w:sz w:val="16"/>
              </w:rPr>
              <w:t>Piemonte</w:t>
            </w:r>
          </w:p>
        </w:tc>
        <w:tc>
          <w:tcPr>
            <w:tcW w:type="dxa" w:w="1984"/>
            <w:vAlign w:val="top"/>
          </w:tcPr>
          <w:p>
            <w:pPr>
              <w:spacing w:after="0" w:before="0"/>
            </w:pPr>
            <w:r>
              <w:rPr>
                <w:sz w:val="16"/>
              </w:rPr>
              <w:t>407 serie</w:t>
            </w:r>
          </w:p>
        </w:tc>
        <w:tc>
          <w:tcPr>
            <w:tcW w:type="dxa" w:w="2835"/>
            <w:vAlign w:val="top"/>
          </w:tcPr>
          <w:p>
            <w:pPr>
              <w:spacing w:after="0" w:before="0"/>
            </w:pPr>
            <w:r>
              <w:rPr>
                <w:sz w:val="16"/>
              </w:rPr>
              <w:t>397 DATA_OK; 10 NO_DATA_SOURCE</w:t>
            </w:r>
          </w:p>
        </w:tc>
        <w:tc>
          <w:tcPr>
            <w:tcW w:type="dxa" w:w="3118"/>
            <w:vAlign w:val="top"/>
          </w:tcPr>
          <w:p>
            <w:pPr>
              <w:spacing w:after="0" w:before="0"/>
            </w:pPr>
            <w:r>
              <w:rPr>
                <w:sz w:val="16"/>
              </w:rPr>
              <w:t>290 meteo; 117 idrologiche</w:t>
            </w:r>
          </w:p>
        </w:tc>
      </w:tr>
      <w:tr>
        <w:trPr>
          <w:cantSplit w:val="true"/>
        </w:trPr>
        <w:tc>
          <w:tcPr>
            <w:tcW w:type="dxa" w:w="1701"/>
            <w:vAlign w:val="top"/>
          </w:tcPr>
          <w:p>
            <w:pPr>
              <w:spacing w:after="0" w:before="0"/>
            </w:pPr>
            <w:r>
              <w:rPr>
                <w:sz w:val="16"/>
              </w:rPr>
              <w:t>Valle d’Aosta</w:t>
            </w:r>
          </w:p>
        </w:tc>
        <w:tc>
          <w:tcPr>
            <w:tcW w:type="dxa" w:w="1984"/>
            <w:vAlign w:val="top"/>
          </w:tcPr>
          <w:p>
            <w:pPr>
              <w:spacing w:after="0" w:before="0"/>
            </w:pPr>
            <w:r>
              <w:rPr>
                <w:sz w:val="16"/>
              </w:rPr>
              <w:t>522 station-parameter da 93 ZIP</w:t>
            </w:r>
          </w:p>
        </w:tc>
        <w:tc>
          <w:tcPr>
            <w:tcW w:type="dxa" w:w="2835"/>
            <w:vAlign w:val="top"/>
          </w:tcPr>
          <w:p>
            <w:pPr>
              <w:spacing w:after="0" w:before="0"/>
            </w:pPr>
            <w:r>
              <w:rPr>
                <w:sz w:val="16"/>
              </w:rPr>
              <w:t>504 DATA_OK; 18 NO_DATA_SOURCE</w:t>
            </w:r>
          </w:p>
        </w:tc>
        <w:tc>
          <w:tcPr>
            <w:tcW w:type="dxa" w:w="3118"/>
            <w:vAlign w:val="top"/>
          </w:tcPr>
          <w:p>
            <w:pPr>
              <w:spacing w:after="0" w:before="0"/>
            </w:pPr>
            <w:r>
              <w:rPr>
                <w:sz w:val="16"/>
              </w:rPr>
              <w:t>Acquisizione ZIP e ingestione/QC locale</w:t>
            </w:r>
          </w:p>
        </w:tc>
      </w:tr>
      <w:tr>
        <w:trPr>
          <w:cantSplit w:val="true"/>
        </w:trPr>
        <w:tc>
          <w:tcPr>
            <w:tcW w:type="dxa" w:w="1701"/>
            <w:vAlign w:val="top"/>
          </w:tcPr>
          <w:p>
            <w:pPr>
              <w:spacing w:after="0" w:before="0"/>
            </w:pPr>
            <w:r>
              <w:rPr>
                <w:sz w:val="16"/>
              </w:rPr>
              <w:t>Liguria</w:t>
            </w:r>
          </w:p>
        </w:tc>
        <w:tc>
          <w:tcPr>
            <w:tcW w:type="dxa" w:w="1984"/>
            <w:vAlign w:val="top"/>
          </w:tcPr>
          <w:p>
            <w:pPr>
              <w:spacing w:after="0" w:before="0"/>
            </w:pPr>
            <w:r>
              <w:rPr>
                <w:sz w:val="16"/>
              </w:rPr>
              <w:t>780 combinazioni target-year</w:t>
            </w:r>
          </w:p>
        </w:tc>
        <w:tc>
          <w:tcPr>
            <w:tcW w:type="dxa" w:w="2835"/>
            <w:vAlign w:val="top"/>
          </w:tcPr>
          <w:p>
            <w:pPr>
              <w:spacing w:after="0" w:before="0"/>
            </w:pPr>
            <w:r>
              <w:rPr>
                <w:sz w:val="16"/>
              </w:rPr>
              <w:t>411 DATA_OK; 369 NO_DATA_CONFIRMED</w:t>
            </w:r>
          </w:p>
        </w:tc>
        <w:tc>
          <w:tcPr>
            <w:tcW w:type="dxa" w:w="3118"/>
            <w:vAlign w:val="top"/>
          </w:tcPr>
          <w:p>
            <w:pPr>
              <w:spacing w:after="0" w:before="0"/>
            </w:pPr>
            <w:r>
              <w:rPr>
                <w:sz w:val="16"/>
              </w:rPr>
              <w:t>0 errori scientifici di parametro</w:t>
            </w:r>
          </w:p>
        </w:tc>
      </w:tr>
    </w:tbl>
    <w:p/>
    <w:p>
      <w:pPr>
        <w:pStyle w:val="ListBullet"/>
        <w:spacing w:after="40"/>
      </w:pPr>
      <w:r>
        <w:t>Registry temporale canonico: nw_observations_standardized_v1_4/observation_series_registry_v1_4.csv.</w:t>
      </w:r>
    </w:p>
    <w:p>
      <w:pPr>
        <w:pStyle w:val="ListBullet"/>
        <w:spacing w:after="40"/>
      </w:pPr>
      <w:r>
        <w:t>Manifest dei valori standardizzati: nw_observations_values_v1_0/standardized_series_manifest_v1_2.csv.</w:t>
      </w:r>
    </w:p>
    <w:p>
      <w:pPr>
        <w:pStyle w:val="ListBullet"/>
        <w:spacing w:after="40"/>
      </w:pPr>
      <w:r>
        <w:t>Totale valori numerici standardizzati: 27.822.958 righe, 1.312 serie; PASS 1.312/1.312.</w:t>
      </w:r>
    </w:p>
    <w:p>
      <w:pPr>
        <w:pStyle w:val="ListBullet"/>
        <w:spacing w:after="40"/>
      </w:pPr>
      <w:r>
        <w:t>Layer giornaliero: 2.517.182 righe; nessuna aggregazione idrologica indiscriminata tra sezioni diverse.</w:t>
      </w:r>
    </w:p>
    <w:p>
      <w:pPr>
        <w:pStyle w:val="ListBullet"/>
        <w:spacing w:after="40"/>
      </w:pPr>
      <w:r>
        <w:t>Regola semantica: per sorgenti già giornaliere daily_max non viene interpretato come vero picco sub-giornaliero; è semplicemente il singolo valore giornaliero disponibile.</w:t>
      </w:r>
    </w:p>
    <w:p>
      <w:pPr>
        <w:pStyle w:val="Heading2"/>
      </w:pPr>
      <w:r>
        <w:t>6.1 Mapping osservazioni → recettori</w:t>
      </w:r>
    </w:p>
    <w:p>
      <w:r>
        <w:t>Il mapping canonico mantiene la multi-membership per le variabili meteorologiche quando fisicamente coerente. Per le variabili idrologiche si evita invece qualsiasi media tra sezioni diverse. La mappatura della Valle d’Aosta verso NW_DORA_BALTEA è una scelta di scope del modello attuale, non una delineazione fisica di tutti i sottobacini valdostani.</w:t>
      </w:r>
    </w:p>
    <w:p>
      <w:pPr>
        <w:pStyle w:val="BodyText"/>
        <w:spacing w:before="40" w:after="80"/>
        <w:ind w:left="283" w:right="170"/>
      </w:pPr>
      <w:r>
        <w:rPr>
          <w:rFonts w:ascii="Courier New" w:hAnsi="Courier New"/>
          <w:sz w:val="17"/>
        </w:rPr>
        <w:t>nw_observations_basin_mapping_v1_3/</w:t>
      </w:r>
    </w:p>
    <w:p>
      <w:pPr>
        <w:pStyle w:val="Heading1"/>
      </w:pPr>
      <w:r>
        <w:t>7. Feature meteorologiche e accoppiamento MedSea–IVT</w:t>
      </w:r>
    </w:p>
    <w:p>
      <w:pPr>
        <w:pStyle w:val="Heading2"/>
      </w:pPr>
      <w:r>
        <w:t>7.1 Meteo osservata per bacino</w:t>
      </w:r>
    </w:p>
    <w:p>
      <w:r>
        <w:t>Le osservazioni meteorologiche sono state riassunte per recettore come statistiche della rete di stazioni, non come interpolazioni areali del bacino. Il prodotto canonico contiene 99.918 righe.</w:t>
      </w:r>
    </w:p>
    <w:p>
      <w:pPr>
        <w:pStyle w:val="BodyText"/>
        <w:spacing w:before="40" w:after="80"/>
        <w:ind w:left="283" w:right="170"/>
      </w:pPr>
      <w:r>
        <w:rPr>
          <w:rFonts w:ascii="Courier New" w:hAnsi="Courier New"/>
          <w:sz w:val="17"/>
        </w:rPr>
        <w:t>nw_observed_meteo_basin_features_v1_0/observed_meteo_basin_daily_1987_2025_v1_0.csv</w:t>
      </w:r>
    </w:p>
    <w:p>
      <w:pPr>
        <w:pStyle w:val="ListBullet"/>
        <w:spacing w:after="40"/>
      </w:pPr>
      <w:r>
        <w:t>Le feature di precipitazione osservata hanno buona copertura pooled ma non uniforme tra recettori/fold.</w:t>
      </w:r>
    </w:p>
    <w:p>
      <w:pPr>
        <w:pStyle w:val="ListBullet"/>
        <w:spacing w:after="40"/>
      </w:pPr>
      <w:r>
        <w:t>Le variabili snow/wind e diverse metriche temperatura/soleggiamento sono molto sparse in ampie parti della rete storica.</w:t>
      </w:r>
    </w:p>
    <w:p>
      <w:pPr>
        <w:pStyle w:val="ListBullet"/>
        <w:spacing w:after="40"/>
      </w:pPr>
      <w:r>
        <w:t>I campi di coverage, completezza e conteggio stazioni sono trattati come QA/metadata, non come predittori fisici primari, per evitare che il modello impari la storia della rete osservativa.</w:t>
      </w:r>
    </w:p>
    <w:p>
      <w:pPr>
        <w:pStyle w:val="Heading2"/>
      </w:pPr>
      <w:r>
        <w:t>7.2 Coupling MedSea × IVT</w:t>
      </w:r>
    </w:p>
    <w:p>
      <w:r>
        <w:t>Il coupling marino-atmosferico è un proxy geometrico/Euleriano, non una back-trajectory Lagrangiana. Per ogni recettore viene definito il supporto marino rispetto alla direzione di trasporto IVT e vengono associate SST/OHC del corridoio marino solo quando esiste supporto fisico/metodologico.</w:t>
      </w:r>
    </w:p>
    <w:p>
      <w:pPr>
        <w:pStyle w:val="BodyText"/>
        <w:spacing w:before="40" w:after="80"/>
        <w:ind w:left="283" w:right="170"/>
      </w:pPr>
      <w:r>
        <w:rPr>
          <w:rFonts w:ascii="Courier New" w:hAnsi="Courier New"/>
          <w:sz w:val="17"/>
        </w:rPr>
        <w:t>medsea_historical_analysis/basin_coupling_canonical_v1_2/medsea_ivt_basin_coupling_daily_1987_2025_canonical_v1_2.csv</w:t>
      </w:r>
    </w:p>
    <w:p>
      <w:pPr>
        <w:pStyle w:val="ListBullet"/>
        <w:spacing w:after="40"/>
      </w:pPr>
      <w:r>
        <w:t>99.918 righe, coerenti con le chiavi receptor_id + date.</w:t>
      </w:r>
    </w:p>
    <w:p>
      <w:pPr>
        <w:pStyle w:val="ListBullet"/>
        <w:spacing w:after="40"/>
      </w:pPr>
      <w:r>
        <w:t>Baseline angolare canonica ±45°, con sensitivity ±30°/±45°/±60°.</w:t>
      </w:r>
    </w:p>
    <w:p>
      <w:pPr>
        <w:pStyle w:val="ListBullet"/>
        <w:spacing w:after="40"/>
      </w:pPr>
      <w:r>
        <w:t>Lo stato “no marine support” non è un missing da imputare a zero: è una condizione fisico-metodologica esplicita.</w:t>
      </w:r>
    </w:p>
    <w:p>
      <w:pPr>
        <w:pStyle w:val="Heading1"/>
      </w:pPr>
      <w:r>
        <w:t>8. Rete idrologica, soglie ufficiali e target primari</w:t>
      </w:r>
    </w:p>
    <w:p>
      <w:r>
        <w:t>Il percorso sulle soglie è stato volutamente prudente. I primi estrattori numerici locali producevano candidati inquinati da valori osservativi e sono stati abbandonati. La rete finale usa una sola sezione primaria/proxy per recettore, con soglie ufficiali verificate separatamente e senza imporne la validità storica retroattiva al 1987.</w:t>
      </w:r>
    </w:p>
    <w:p>
      <w:pPr>
        <w:pStyle w:val="ListBullet"/>
        <w:spacing w:after="40"/>
      </w:pPr>
      <w:r>
        <w:t>Rete finale: 19 PRIMARY_TARGET + 1 PRIMARY_PROXY_TRIBUTARY (LIG_CENTA su Neva/Cisano).</w:t>
      </w:r>
    </w:p>
    <w:p>
      <w:pPr>
        <w:pStyle w:val="ListBullet"/>
        <w:spacing w:after="40"/>
      </w:pPr>
      <w:r>
        <w:t>LIG_ENTELLA resta senza target idrologico primario canonico.</w:t>
      </w:r>
    </w:p>
    <w:p>
      <w:pPr>
        <w:pStyle w:val="ListBullet"/>
        <w:spacing w:after="40"/>
      </w:pPr>
      <w:r>
        <w:t>Registro soglie ufficiali v1.1: 20/20 controlli con soglia operativa corrente verificata; 14 FLOW + 6 STAGE; pending 0.</w:t>
      </w:r>
    </w:p>
    <w:p>
      <w:pPr>
        <w:pStyle w:val="ListBullet"/>
        <w:spacing w:after="40"/>
      </w:pPr>
      <w:r>
        <w:t>Correzione importante: NW_ORBA usa CASAL CERMELLI ORBA, non Basaluzzo.</w:t>
      </w:r>
    </w:p>
    <w:p>
      <w:pPr>
        <w:pStyle w:val="ListBullet"/>
        <w:spacing w:after="40"/>
      </w:pPr>
      <w:r>
        <w:t>Le soglie correnti sono metadati operativi di riferimento. Non vengono assunte come storicamente invarianti per tutta la serie 1987–2025.</w:t>
      </w:r>
    </w:p>
    <w:p>
      <w:pPr>
        <w:pStyle w:val="BodyText"/>
        <w:spacing w:before="40" w:after="80"/>
        <w:ind w:left="283" w:right="170"/>
      </w:pPr>
      <w:r>
        <w:rPr>
          <w:rFonts w:ascii="Courier New" w:hAnsi="Courier New"/>
          <w:sz w:val="17"/>
        </w:rPr>
        <w:t>nw_official_primary_threshold_registry_v1_1/official_primary_threshold_registry_v1_1.csv</w:t>
      </w:r>
    </w:p>
    <w:p>
      <w:pPr>
        <w:pStyle w:val="BodyText"/>
        <w:spacing w:before="40" w:after="80"/>
        <w:ind w:left="283" w:right="170"/>
      </w:pPr>
      <w:r>
        <w:rPr>
          <w:rFonts w:ascii="Courier New" w:hAnsi="Courier New"/>
          <w:sz w:val="17"/>
        </w:rPr>
        <w:t>nw_official_primary_threshold_registry_v1_1/hydrological_primary_target_network_v1_1.csv</w:t>
      </w:r>
    </w:p>
    <w:p>
      <w:pPr>
        <w:pStyle w:val="Heading2"/>
      </w:pPr>
      <w:r>
        <w:t>8.1 Base giornaliera idrologica primaria</w:t>
      </w:r>
    </w:p>
    <w:p>
      <w:r>
        <w:t>La base target giornaliera è stata costruita senza conversioni stage→flow e senza imputazione. Per la Liguria, quando la sorgente è oraria, si usa daily_max del livello; per il Piemonte si conserva il valore giornaliero canonico e lo si descrive esplicitamente come valore giornaliero, non picco istantaneo.</w:t>
      </w:r>
    </w:p>
    <w:p>
      <w:pPr>
        <w:pStyle w:val="BodyText"/>
        <w:spacing w:before="40" w:after="80"/>
        <w:ind w:left="283" w:right="170"/>
      </w:pPr>
      <w:r>
        <w:rPr>
          <w:rFonts w:ascii="Courier New" w:hAnsi="Courier New"/>
          <w:sz w:val="17"/>
        </w:rPr>
        <w:t>nw_primary_daily_hydrology_target_base_v1_0/nw_primary_daily_hydrology_target_base_1987_2025_v1_0.csv</w:t>
      </w:r>
    </w:p>
    <w:p>
      <w:pPr>
        <w:pStyle w:val="ListBullet"/>
        <w:spacing w:after="40"/>
      </w:pPr>
      <w:r>
        <w:t>20 recettori × 4.758 date = 95.160 righe esatte.</w:t>
      </w:r>
    </w:p>
    <w:p>
      <w:pPr>
        <w:pStyle w:val="ListBullet"/>
        <w:spacing w:after="40"/>
      </w:pPr>
      <w:r>
        <w:t>Valori target numerici presenti: 56.658.</w:t>
      </w:r>
    </w:p>
    <w:p>
      <w:pPr>
        <w:pStyle w:val="ListBullet"/>
        <w:spacing w:after="40"/>
      </w:pPr>
      <w:r>
        <w:t>Copertura storica variabile per recettore (~48,6%–76,6%). I missing restano missing e non significano “nessuna piena”.</w:t>
      </w:r>
    </w:p>
    <w:p>
      <w:pPr>
        <w:pStyle w:val="Heading1"/>
      </w:pPr>
      <w:r>
        <w:t>9. Costruzione delle label previsionali Q95</w:t>
      </w:r>
    </w:p>
    <w:p>
      <w:r>
        <w:t>Per evitare l’uso retroattivo non verificato delle soglie operative correnti e per prevenire leakage, il target previsionale è stato definito con soglia statistica receptor-specific Q95 stimata esclusivamente sul FIT di ciascun fold. La Q97,5 è mantenuta come severità secondaria/diagnostica.</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cantSplit w:val="true"/>
        </w:trPr>
        <w:tc>
          <w:tcPr>
            <w:tcW w:type="dxa" w:w="1134"/>
            <w:shd w:fill="D9EAF7"/>
            <w:vAlign w:val="center"/>
          </w:tcPr>
          <w:p>
            <w:pPr>
              <w:jc w:val="center"/>
            </w:pPr>
            <w:r>
              <w:rPr>
                <w:b/>
                <w:sz w:val="18"/>
              </w:rPr>
              <w:t>Fold</w:t>
            </w:r>
          </w:p>
        </w:tc>
        <w:tc>
          <w:tcPr>
            <w:tcW w:type="dxa" w:w="2551"/>
            <w:shd w:fill="D9EAF7"/>
            <w:vAlign w:val="center"/>
          </w:tcPr>
          <w:p>
            <w:pPr>
              <w:jc w:val="center"/>
            </w:pPr>
            <w:r>
              <w:rPr>
                <w:b/>
                <w:sz w:val="18"/>
              </w:rPr>
              <w:t>FIT</w:t>
            </w:r>
          </w:p>
        </w:tc>
        <w:tc>
          <w:tcPr>
            <w:tcW w:type="dxa" w:w="2551"/>
            <w:shd w:fill="D9EAF7"/>
            <w:vAlign w:val="center"/>
          </w:tcPr>
          <w:p>
            <w:pPr>
              <w:jc w:val="center"/>
            </w:pPr>
            <w:r>
              <w:rPr>
                <w:b/>
                <w:sz w:val="18"/>
              </w:rPr>
              <w:t>VALIDATION</w:t>
            </w:r>
          </w:p>
        </w:tc>
        <w:tc>
          <w:tcPr>
            <w:tcW w:type="dxa" w:w="2551"/>
            <w:shd w:fill="D9EAF7"/>
            <w:vAlign w:val="center"/>
          </w:tcPr>
          <w:p>
            <w:pPr>
              <w:jc w:val="center"/>
            </w:pPr>
            <w:r>
              <w:rPr>
                <w:b/>
                <w:sz w:val="18"/>
              </w:rPr>
              <w:t>TEST</w:t>
            </w:r>
          </w:p>
        </w:tc>
      </w:tr>
      <w:tr>
        <w:trPr>
          <w:cantSplit w:val="true"/>
        </w:trPr>
        <w:tc>
          <w:tcPr>
            <w:tcW w:type="dxa" w:w="1134"/>
            <w:vAlign w:val="top"/>
          </w:tcPr>
          <w:p>
            <w:pPr>
              <w:spacing w:after="0" w:before="0"/>
            </w:pPr>
            <w:r>
              <w:rPr>
                <w:sz w:val="18"/>
              </w:rPr>
              <w:t>F1</w:t>
            </w:r>
          </w:p>
        </w:tc>
        <w:tc>
          <w:tcPr>
            <w:tcW w:type="dxa" w:w="2551"/>
            <w:vAlign w:val="top"/>
          </w:tcPr>
          <w:p>
            <w:pPr>
              <w:spacing w:after="0" w:before="0"/>
            </w:pPr>
            <w:r>
              <w:rPr>
                <w:sz w:val="18"/>
              </w:rPr>
              <w:t>≤ 2013</w:t>
            </w:r>
          </w:p>
        </w:tc>
        <w:tc>
          <w:tcPr>
            <w:tcW w:type="dxa" w:w="2551"/>
            <w:vAlign w:val="top"/>
          </w:tcPr>
          <w:p>
            <w:pPr>
              <w:spacing w:after="0" w:before="0"/>
            </w:pPr>
            <w:r>
              <w:rPr>
                <w:sz w:val="18"/>
              </w:rPr>
              <w:t>2014–2016</w:t>
            </w:r>
          </w:p>
        </w:tc>
        <w:tc>
          <w:tcPr>
            <w:tcW w:type="dxa" w:w="2551"/>
            <w:vAlign w:val="top"/>
          </w:tcPr>
          <w:p>
            <w:pPr>
              <w:spacing w:after="0" w:before="0"/>
            </w:pPr>
            <w:r>
              <w:rPr>
                <w:sz w:val="18"/>
              </w:rPr>
              <w:t>2017–2019</w:t>
            </w:r>
          </w:p>
        </w:tc>
      </w:tr>
      <w:tr>
        <w:trPr>
          <w:cantSplit w:val="true"/>
        </w:trPr>
        <w:tc>
          <w:tcPr>
            <w:tcW w:type="dxa" w:w="1134"/>
            <w:vAlign w:val="top"/>
          </w:tcPr>
          <w:p>
            <w:pPr>
              <w:spacing w:after="0" w:before="0"/>
            </w:pPr>
            <w:r>
              <w:rPr>
                <w:sz w:val="18"/>
              </w:rPr>
              <w:t>F2</w:t>
            </w:r>
          </w:p>
        </w:tc>
        <w:tc>
          <w:tcPr>
            <w:tcW w:type="dxa" w:w="2551"/>
            <w:vAlign w:val="top"/>
          </w:tcPr>
          <w:p>
            <w:pPr>
              <w:spacing w:after="0" w:before="0"/>
            </w:pPr>
            <w:r>
              <w:rPr>
                <w:sz w:val="18"/>
              </w:rPr>
              <w:t>≤ 2016</w:t>
            </w:r>
          </w:p>
        </w:tc>
        <w:tc>
          <w:tcPr>
            <w:tcW w:type="dxa" w:w="2551"/>
            <w:vAlign w:val="top"/>
          </w:tcPr>
          <w:p>
            <w:pPr>
              <w:spacing w:after="0" w:before="0"/>
            </w:pPr>
            <w:r>
              <w:rPr>
                <w:sz w:val="18"/>
              </w:rPr>
              <w:t>2017–2019</w:t>
            </w:r>
          </w:p>
        </w:tc>
        <w:tc>
          <w:tcPr>
            <w:tcW w:type="dxa" w:w="2551"/>
            <w:vAlign w:val="top"/>
          </w:tcPr>
          <w:p>
            <w:pPr>
              <w:spacing w:after="0" w:before="0"/>
            </w:pPr>
            <w:r>
              <w:rPr>
                <w:sz w:val="18"/>
              </w:rPr>
              <w:t>2020–2022</w:t>
            </w:r>
          </w:p>
        </w:tc>
      </w:tr>
      <w:tr>
        <w:trPr>
          <w:cantSplit w:val="true"/>
        </w:trPr>
        <w:tc>
          <w:tcPr>
            <w:tcW w:type="dxa" w:w="1134"/>
            <w:vAlign w:val="top"/>
          </w:tcPr>
          <w:p>
            <w:pPr>
              <w:spacing w:after="0" w:before="0"/>
            </w:pPr>
            <w:r>
              <w:rPr>
                <w:sz w:val="18"/>
              </w:rPr>
              <w:t>F3</w:t>
            </w:r>
          </w:p>
        </w:tc>
        <w:tc>
          <w:tcPr>
            <w:tcW w:type="dxa" w:w="2551"/>
            <w:vAlign w:val="top"/>
          </w:tcPr>
          <w:p>
            <w:pPr>
              <w:spacing w:after="0" w:before="0"/>
            </w:pPr>
            <w:r>
              <w:rPr>
                <w:sz w:val="18"/>
              </w:rPr>
              <w:t>≤ 2019</w:t>
            </w:r>
          </w:p>
        </w:tc>
        <w:tc>
          <w:tcPr>
            <w:tcW w:type="dxa" w:w="2551"/>
            <w:vAlign w:val="top"/>
          </w:tcPr>
          <w:p>
            <w:pPr>
              <w:spacing w:after="0" w:before="0"/>
            </w:pPr>
            <w:r>
              <w:rPr>
                <w:sz w:val="18"/>
              </w:rPr>
              <w:t>2020–2022</w:t>
            </w:r>
          </w:p>
        </w:tc>
        <w:tc>
          <w:tcPr>
            <w:tcW w:type="dxa" w:w="2551"/>
            <w:vAlign w:val="top"/>
          </w:tcPr>
          <w:p>
            <w:pPr>
              <w:spacing w:after="0" w:before="0"/>
            </w:pPr>
            <w:r>
              <w:rPr>
                <w:sz w:val="18"/>
              </w:rPr>
              <w:t>2023–2025</w:t>
            </w:r>
          </w:p>
        </w:tc>
      </w:tr>
    </w:tbl>
    <w:p/>
    <w:p>
      <w:pPr>
        <w:pStyle w:val="ListBullet"/>
        <w:spacing w:after="40"/>
      </w:pPr>
      <w:r>
        <w:t>Orizzonti: 24 h = t+1; 48 h = t+1..t+2; 72 h = t+1..t+3.</w:t>
      </w:r>
    </w:p>
    <w:p>
      <w:pPr>
        <w:pStyle w:val="ListBullet"/>
        <w:spacing w:after="40"/>
      </w:pPr>
      <w:r>
        <w:t>Se almeno un giorno futuro osservato supera Q95, la label è positiva anche se un altro giorno della finestra è missing.</w:t>
      </w:r>
    </w:p>
    <w:p>
      <w:pPr>
        <w:pStyle w:val="ListBullet"/>
        <w:spacing w:after="40"/>
      </w:pPr>
      <w:r>
        <w:t>La label negativa è ammessa solo quando la finestra futura è completa e non contiene superamenti.</w:t>
      </w:r>
    </w:p>
    <w:p>
      <w:pPr>
        <w:pStyle w:val="ListBullet"/>
        <w:spacing w:after="40"/>
      </w:pPr>
      <w:r>
        <w:t>Se non c’è evidenza positiva ma la finestra è incompleta, la label resta NaN.</w:t>
      </w:r>
    </w:p>
    <w:p>
      <w:pPr>
        <w:pStyle w:val="ListBullet"/>
        <w:spacing w:after="40"/>
      </w:pPr>
      <w:r>
        <w:t>Nessun bridging dicembre→settembre.</w:t>
      </w:r>
    </w:p>
    <w:p>
      <w:pPr>
        <w:pStyle w:val="ListBullet"/>
        <w:spacing w:after="40"/>
      </w:pPr>
      <w:r>
        <w:t>Nessuno split casuale: solo rolling/blocked temporal validation.</w:t>
      </w:r>
    </w:p>
    <w:p>
      <w:r>
        <w:rPr>
          <w:b/>
        </w:rPr>
        <w:t xml:space="preserve">Evoluzione degli artefatti. </w:t>
      </w:r>
      <w:r>
        <w:t>Il preflight v1.0 è stato dichiarato non canonico per supporto insufficiente nei primi fold e per un bug nella logica dei missing futuri. Il preflight v1.1 ha corretto la logica. La policy è stata congelata in v1.2. Poiché il file v1.2 conteneva soltanto VALIDATION e TEST, è stato poi costruito il prodotto modeling v1.3 con FIT+VALIDATION+TEST, verificando che le label VALIDATION/TEST fossero riprodotte esattamente.</w:t>
      </w:r>
    </w:p>
    <w:p>
      <w:pPr>
        <w:pStyle w:val="BodyText"/>
        <w:spacing w:before="40" w:after="80"/>
        <w:ind w:left="283" w:right="170"/>
      </w:pPr>
      <w:r>
        <w:rPr>
          <w:rFonts w:ascii="Courier New" w:hAnsi="Courier New"/>
          <w:sz w:val="17"/>
        </w:rPr>
        <w:t>nw_foldwise_q95_modeling_labels_canonical_v1_3/foldwise_q95_modeling_labels_canonical_v1_3.csv</w:t>
      </w:r>
    </w:p>
    <w:p>
      <w:pPr>
        <w:pStyle w:val="ListBullet"/>
        <w:spacing w:after="40"/>
      </w:pPr>
      <w:r>
        <w:t>Totale righe: 263.520.</w:t>
      </w:r>
    </w:p>
    <w:p>
      <w:pPr>
        <w:pStyle w:val="ListBullet"/>
        <w:spacing w:after="40"/>
      </w:pPr>
      <w:r>
        <w:t>0 duplicati.</w:t>
      </w:r>
    </w:p>
    <w:p>
      <w:pPr>
        <w:pStyle w:val="ListBullet"/>
        <w:spacing w:after="40"/>
      </w:pPr>
      <w:r>
        <w:t>Riproduzione delle label v1.2 su VALIDATION/TEST: PASS, 0 mismatch di chiavi e 0 mismatch di label.</w:t>
      </w:r>
    </w:p>
    <w:p>
      <w:pPr>
        <w:pStyle w:val="ListBullet"/>
        <w:spacing w:after="40"/>
      </w:pPr>
      <w:r>
        <w:t>0 combinazioni pooled FIT senza positivi.</w:t>
      </w:r>
    </w:p>
    <w:p>
      <w:pPr>
        <w:pStyle w:val="Heading1"/>
      </w:pPr>
      <w:r>
        <w:t>10. Whitelist delle feature dinamiche e descrittori statici</w:t>
      </w:r>
    </w:p>
    <w:p>
      <w:pPr>
        <w:pStyle w:val="Heading2"/>
      </w:pPr>
      <w:r>
        <w:t>10.1 Whitelist dinamica canonica v1.3</w:t>
      </w:r>
    </w:p>
    <w:p>
      <w:r>
        <w:t>Il preflight delle feature ha inventariato tutte le colonne, incluso il metadato non numerico era5.label, e ha separato feature fisiche, support-state, calendario, QA, metadata, angoli grezzi e duplicati cross-source.</w:t>
      </w:r>
    </w:p>
    <w:p>
      <w:pPr>
        <w:pStyle w:val="ListBullet"/>
        <w:spacing w:after="40"/>
      </w:pPr>
      <w:r>
        <w:t>83 feature dinamiche nel CORE finale.</w:t>
      </w:r>
    </w:p>
    <w:p>
      <w:pPr>
        <w:pStyle w:val="ListBullet"/>
        <w:spacing w:after="40"/>
      </w:pPr>
      <w:r>
        <w:t>74 feature dinamiche fisiche primarie.</w:t>
      </w:r>
    </w:p>
    <w:p>
      <w:pPr>
        <w:pStyle w:val="ListBullet"/>
        <w:spacing w:after="40"/>
      </w:pPr>
      <w:r>
        <w:t>8 support companion MedSea necessari a interpretare la condizionalità del supporto marino.</w:t>
      </w:r>
    </w:p>
    <w:p>
      <w:pPr>
        <w:pStyle w:val="ListBullet"/>
        <w:spacing w:after="40"/>
      </w:pPr>
      <w:r>
        <w:t>1 indice stagionale noto: season_day.</w:t>
      </w:r>
    </w:p>
    <w:p>
      <w:pPr>
        <w:pStyle w:val="ListBullet"/>
        <w:spacing w:after="40"/>
      </w:pPr>
      <w:r>
        <w:t>era5.label escluso esplicitamente; season_year escluso; QA/network metadata esclusi; nessuna imputazione.</w:t>
      </w:r>
    </w:p>
    <w:p>
      <w:pPr>
        <w:pStyle w:val="ListBullet"/>
        <w:spacing w:after="40"/>
      </w:pPr>
      <w:r>
        <w:t>Le 7 statistiche di precipitazione osservata sono congelate separatamente come OPTIONAL_OBS_PRECIP_AUGMENTATION: 51/60 coppie receptor×fold eleggibili; non fanno parte del master CORE.</w:t>
      </w:r>
    </w:p>
    <w:p>
      <w:pPr>
        <w:pStyle w:val="BodyText"/>
        <w:spacing w:before="40" w:after="80"/>
        <w:ind w:left="283" w:right="170"/>
      </w:pPr>
      <w:r>
        <w:rPr>
          <w:rFonts w:ascii="Courier New" w:hAnsi="Courier New"/>
          <w:sz w:val="17"/>
        </w:rPr>
        <w:t>nw_dynamic_causal_feature_whitelist_canonical_v1_3/primary_dynamic_feature_whitelist_canonical_v1_3.csv</w:t>
      </w:r>
    </w:p>
    <w:p>
      <w:pPr>
        <w:pStyle w:val="BodyText"/>
        <w:spacing w:before="40" w:after="80"/>
        <w:ind w:left="283" w:right="170"/>
      </w:pPr>
      <w:r>
        <w:rPr>
          <w:rFonts w:ascii="Courier New" w:hAnsi="Courier New"/>
          <w:sz w:val="17"/>
        </w:rPr>
        <w:t>nw_dynamic_causal_feature_whitelist_canonical_v1_3/optional_observed_precip_whitelist_canonical_v1_3.csv</w:t>
      </w:r>
    </w:p>
    <w:p>
      <w:pPr>
        <w:pStyle w:val="Heading2"/>
      </w:pPr>
      <w:r>
        <w:t>10.2 Descrittori statici dei recettori</w:t>
      </w:r>
    </w:p>
    <w:p>
      <w:r>
        <w:t>Il DEM Copernicus GLO-30 è stato riproiettato in EPSG:32632 a 30 m per calcolare pendenze metriche. Il preflight statico ha prodotto area, forma, quote, rilievo, ipsometria, fasce altimetriche e pendenza per tutti i 21 recettori.</w:t>
      </w:r>
    </w:p>
    <w:p>
      <w:pPr>
        <w:pStyle w:val="ListBullet"/>
        <w:spacing w:after="40"/>
      </w:pPr>
      <w:r>
        <w:t>Preflight: PASS; 21 recettori, 20 tile DEM disponibili, 0 duplicati, 0 descrittori mancanti, nessun recettore con copertura DEM &lt; 98%.</w:t>
      </w:r>
    </w:p>
    <w:p>
      <w:pPr>
        <w:pStyle w:val="ListBullet"/>
        <w:spacing w:after="40"/>
      </w:pPr>
      <w:r>
        <w:t>Whitelist statica parsimoniosa: 14 feature.</w:t>
      </w:r>
    </w:p>
    <w:p>
      <w:pPr>
        <w:pStyle w:val="ListBullet"/>
        <w:spacing w:after="40"/>
      </w:pPr>
      <w:r>
        <w:t>Esclusi centroidi come predictor primari, perimeter/equivalent diameter ridondanti, quarta fascia altimetrica complementare e statistiche di distribuzione ridondanti.</w:t>
      </w:r>
    </w:p>
    <w:p>
      <w:pPr>
        <w:pStyle w:val="ListBullet"/>
        <w:spacing w:after="40"/>
      </w:pPr>
      <w:r>
        <w:t>Copernicus GLO-30 è usato come DSM regionale; non sostituisce un DTM per progetto idraulico di dettaglio.</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5102"/>
            <w:shd w:fill="D9EAF7"/>
            <w:vAlign w:val="center"/>
          </w:tcPr>
          <w:p>
            <w:pPr>
              <w:jc w:val="center"/>
            </w:pPr>
            <w:r>
              <w:rPr>
                <w:b/>
                <w:sz w:val="16"/>
              </w:rPr>
              <w:t>Feature canonica</w:t>
            </w:r>
          </w:p>
        </w:tc>
        <w:tc>
          <w:tcPr>
            <w:tcW w:type="dxa" w:w="3969"/>
            <w:shd w:fill="D9EAF7"/>
            <w:vAlign w:val="center"/>
          </w:tcPr>
          <w:p>
            <w:pPr>
              <w:jc w:val="center"/>
            </w:pPr>
            <w:r>
              <w:rPr>
                <w:b/>
                <w:sz w:val="16"/>
              </w:rPr>
              <w:t>Famiglia</w:t>
            </w:r>
          </w:p>
        </w:tc>
      </w:tr>
      <w:tr>
        <w:trPr>
          <w:cantSplit w:val="true"/>
        </w:trPr>
        <w:tc>
          <w:tcPr>
            <w:tcW w:type="dxa" w:w="5102"/>
            <w:vAlign w:val="top"/>
          </w:tcPr>
          <w:p>
            <w:pPr>
              <w:spacing w:after="0" w:before="0"/>
            </w:pPr>
            <w:r>
              <w:rPr>
                <w:sz w:val="16"/>
              </w:rPr>
              <w:t>static__area_km2</w:t>
            </w:r>
          </w:p>
        </w:tc>
        <w:tc>
          <w:tcPr>
            <w:tcW w:type="dxa" w:w="3969"/>
            <w:vAlign w:val="top"/>
          </w:tcPr>
          <w:p>
            <w:pPr>
              <w:spacing w:after="0" w:before="0"/>
            </w:pPr>
            <w:r>
              <w:rPr>
                <w:sz w:val="16"/>
              </w:rPr>
              <w:t>GEOMETRY_SCALE</w:t>
            </w:r>
          </w:p>
        </w:tc>
      </w:tr>
      <w:tr>
        <w:trPr>
          <w:cantSplit w:val="true"/>
        </w:trPr>
        <w:tc>
          <w:tcPr>
            <w:tcW w:type="dxa" w:w="5102"/>
            <w:vAlign w:val="top"/>
          </w:tcPr>
          <w:p>
            <w:pPr>
              <w:spacing w:after="0" w:before="0"/>
            </w:pPr>
            <w:r>
              <w:rPr>
                <w:sz w:val="16"/>
              </w:rPr>
              <w:t>static__circularity_4piA_P2</w:t>
            </w:r>
          </w:p>
        </w:tc>
        <w:tc>
          <w:tcPr>
            <w:tcW w:type="dxa" w:w="3969"/>
            <w:vAlign w:val="top"/>
          </w:tcPr>
          <w:p>
            <w:pPr>
              <w:spacing w:after="0" w:before="0"/>
            </w:pPr>
            <w:r>
              <w:rPr>
                <w:sz w:val="16"/>
              </w:rPr>
              <w:t>GEOMETRY_SHAPE</w:t>
            </w:r>
          </w:p>
        </w:tc>
      </w:tr>
      <w:tr>
        <w:trPr>
          <w:cantSplit w:val="true"/>
        </w:trPr>
        <w:tc>
          <w:tcPr>
            <w:tcW w:type="dxa" w:w="5102"/>
            <w:vAlign w:val="top"/>
          </w:tcPr>
          <w:p>
            <w:pPr>
              <w:spacing w:after="0" w:before="0"/>
            </w:pPr>
            <w:r>
              <w:rPr>
                <w:sz w:val="16"/>
              </w:rPr>
              <w:t>static__convexity_area_ratio</w:t>
            </w:r>
          </w:p>
        </w:tc>
        <w:tc>
          <w:tcPr>
            <w:tcW w:type="dxa" w:w="3969"/>
            <w:vAlign w:val="top"/>
          </w:tcPr>
          <w:p>
            <w:pPr>
              <w:spacing w:after="0" w:before="0"/>
            </w:pPr>
            <w:r>
              <w:rPr>
                <w:sz w:val="16"/>
              </w:rPr>
              <w:t>GEOMETRY_SHAPE</w:t>
            </w:r>
          </w:p>
        </w:tc>
      </w:tr>
      <w:tr>
        <w:trPr>
          <w:cantSplit w:val="true"/>
        </w:trPr>
        <w:tc>
          <w:tcPr>
            <w:tcW w:type="dxa" w:w="5102"/>
            <w:vAlign w:val="top"/>
          </w:tcPr>
          <w:p>
            <w:pPr>
              <w:spacing w:after="0" w:before="0"/>
            </w:pPr>
            <w:r>
              <w:rPr>
                <w:sz w:val="16"/>
              </w:rPr>
              <w:t>static__elevation_m_mean</w:t>
            </w:r>
          </w:p>
        </w:tc>
        <w:tc>
          <w:tcPr>
            <w:tcW w:type="dxa" w:w="3969"/>
            <w:vAlign w:val="top"/>
          </w:tcPr>
          <w:p>
            <w:pPr>
              <w:spacing w:after="0" w:before="0"/>
            </w:pPr>
            <w:r>
              <w:rPr>
                <w:sz w:val="16"/>
              </w:rPr>
              <w:t>OROGRAPHY</w:t>
            </w:r>
          </w:p>
        </w:tc>
      </w:tr>
      <w:tr>
        <w:trPr>
          <w:cantSplit w:val="true"/>
        </w:trPr>
        <w:tc>
          <w:tcPr>
            <w:tcW w:type="dxa" w:w="5102"/>
            <w:vAlign w:val="top"/>
          </w:tcPr>
          <w:p>
            <w:pPr>
              <w:spacing w:after="0" w:before="0"/>
            </w:pPr>
            <w:r>
              <w:rPr>
                <w:sz w:val="16"/>
              </w:rPr>
              <w:t>static__elevation_m_p90</w:t>
            </w:r>
          </w:p>
        </w:tc>
        <w:tc>
          <w:tcPr>
            <w:tcW w:type="dxa" w:w="3969"/>
            <w:vAlign w:val="top"/>
          </w:tcPr>
          <w:p>
            <w:pPr>
              <w:spacing w:after="0" w:before="0"/>
            </w:pPr>
            <w:r>
              <w:rPr>
                <w:sz w:val="16"/>
              </w:rPr>
              <w:t>OROGRAPHY</w:t>
            </w:r>
          </w:p>
        </w:tc>
      </w:tr>
      <w:tr>
        <w:trPr>
          <w:cantSplit w:val="true"/>
        </w:trPr>
        <w:tc>
          <w:tcPr>
            <w:tcW w:type="dxa" w:w="5102"/>
            <w:vAlign w:val="top"/>
          </w:tcPr>
          <w:p>
            <w:pPr>
              <w:spacing w:after="0" w:before="0"/>
            </w:pPr>
            <w:r>
              <w:rPr>
                <w:sz w:val="16"/>
              </w:rPr>
              <w:t>static__relief_m</w:t>
            </w:r>
          </w:p>
        </w:tc>
        <w:tc>
          <w:tcPr>
            <w:tcW w:type="dxa" w:w="3969"/>
            <w:vAlign w:val="top"/>
          </w:tcPr>
          <w:p>
            <w:pPr>
              <w:spacing w:after="0" w:before="0"/>
            </w:pPr>
            <w:r>
              <w:rPr>
                <w:sz w:val="16"/>
              </w:rPr>
              <w:t>OROGRAPHY_RELIEF</w:t>
            </w:r>
          </w:p>
        </w:tc>
      </w:tr>
      <w:tr>
        <w:trPr>
          <w:cantSplit w:val="true"/>
        </w:trPr>
        <w:tc>
          <w:tcPr>
            <w:tcW w:type="dxa" w:w="5102"/>
            <w:vAlign w:val="top"/>
          </w:tcPr>
          <w:p>
            <w:pPr>
              <w:spacing w:after="0" w:before="0"/>
            </w:pPr>
            <w:r>
              <w:rPr>
                <w:sz w:val="16"/>
              </w:rPr>
              <w:t>static__hypsometric_integral_proxy</w:t>
            </w:r>
          </w:p>
        </w:tc>
        <w:tc>
          <w:tcPr>
            <w:tcW w:type="dxa" w:w="3969"/>
            <w:vAlign w:val="top"/>
          </w:tcPr>
          <w:p>
            <w:pPr>
              <w:spacing w:after="0" w:before="0"/>
            </w:pPr>
            <w:r>
              <w:rPr>
                <w:sz w:val="16"/>
              </w:rPr>
              <w:t>OROGRAPHY_HYPSOMETRY</w:t>
            </w:r>
          </w:p>
        </w:tc>
      </w:tr>
      <w:tr>
        <w:trPr>
          <w:cantSplit w:val="true"/>
        </w:trPr>
        <w:tc>
          <w:tcPr>
            <w:tcW w:type="dxa" w:w="5102"/>
            <w:vAlign w:val="top"/>
          </w:tcPr>
          <w:p>
            <w:pPr>
              <w:spacing w:after="0" w:before="0"/>
            </w:pPr>
            <w:r>
              <w:rPr>
                <w:sz w:val="16"/>
              </w:rPr>
              <w:t>static__elevation_fraction_lt500m</w:t>
            </w:r>
          </w:p>
        </w:tc>
        <w:tc>
          <w:tcPr>
            <w:tcW w:type="dxa" w:w="3969"/>
            <w:vAlign w:val="top"/>
          </w:tcPr>
          <w:p>
            <w:pPr>
              <w:spacing w:after="0" w:before="0"/>
            </w:pPr>
            <w:r>
              <w:rPr>
                <w:sz w:val="16"/>
              </w:rPr>
              <w:t>ELEVATION_BAND</w:t>
            </w:r>
          </w:p>
        </w:tc>
      </w:tr>
      <w:tr>
        <w:trPr>
          <w:cantSplit w:val="true"/>
        </w:trPr>
        <w:tc>
          <w:tcPr>
            <w:tcW w:type="dxa" w:w="5102"/>
            <w:vAlign w:val="top"/>
          </w:tcPr>
          <w:p>
            <w:pPr>
              <w:spacing w:after="0" w:before="0"/>
            </w:pPr>
            <w:r>
              <w:rPr>
                <w:sz w:val="16"/>
              </w:rPr>
              <w:t>static__elevation_fraction_500_1000m</w:t>
            </w:r>
          </w:p>
        </w:tc>
        <w:tc>
          <w:tcPr>
            <w:tcW w:type="dxa" w:w="3969"/>
            <w:vAlign w:val="top"/>
          </w:tcPr>
          <w:p>
            <w:pPr>
              <w:spacing w:after="0" w:before="0"/>
            </w:pPr>
            <w:r>
              <w:rPr>
                <w:sz w:val="16"/>
              </w:rPr>
              <w:t>ELEVATION_BAND</w:t>
            </w:r>
          </w:p>
        </w:tc>
      </w:tr>
      <w:tr>
        <w:trPr>
          <w:cantSplit w:val="true"/>
        </w:trPr>
        <w:tc>
          <w:tcPr>
            <w:tcW w:type="dxa" w:w="5102"/>
            <w:vAlign w:val="top"/>
          </w:tcPr>
          <w:p>
            <w:pPr>
              <w:spacing w:after="0" w:before="0"/>
            </w:pPr>
            <w:r>
              <w:rPr>
                <w:sz w:val="16"/>
              </w:rPr>
              <w:t>static__elevation_fraction_1000_1500m</w:t>
            </w:r>
          </w:p>
        </w:tc>
        <w:tc>
          <w:tcPr>
            <w:tcW w:type="dxa" w:w="3969"/>
            <w:vAlign w:val="top"/>
          </w:tcPr>
          <w:p>
            <w:pPr>
              <w:spacing w:after="0" w:before="0"/>
            </w:pPr>
            <w:r>
              <w:rPr>
                <w:sz w:val="16"/>
              </w:rPr>
              <w:t>ELEVATION_BAND</w:t>
            </w:r>
          </w:p>
        </w:tc>
      </w:tr>
      <w:tr>
        <w:trPr>
          <w:cantSplit w:val="true"/>
        </w:trPr>
        <w:tc>
          <w:tcPr>
            <w:tcW w:type="dxa" w:w="5102"/>
            <w:vAlign w:val="top"/>
          </w:tcPr>
          <w:p>
            <w:pPr>
              <w:spacing w:after="0" w:before="0"/>
            </w:pPr>
            <w:r>
              <w:rPr>
                <w:sz w:val="16"/>
              </w:rPr>
              <w:t>static__slope_deg_mean</w:t>
            </w:r>
          </w:p>
        </w:tc>
        <w:tc>
          <w:tcPr>
            <w:tcW w:type="dxa" w:w="3969"/>
            <w:vAlign w:val="top"/>
          </w:tcPr>
          <w:p>
            <w:pPr>
              <w:spacing w:after="0" w:before="0"/>
            </w:pPr>
            <w:r>
              <w:rPr>
                <w:sz w:val="16"/>
              </w:rPr>
              <w:t>SLOPE</w:t>
            </w:r>
          </w:p>
        </w:tc>
      </w:tr>
      <w:tr>
        <w:trPr>
          <w:cantSplit w:val="true"/>
        </w:trPr>
        <w:tc>
          <w:tcPr>
            <w:tcW w:type="dxa" w:w="5102"/>
            <w:vAlign w:val="top"/>
          </w:tcPr>
          <w:p>
            <w:pPr>
              <w:spacing w:after="0" w:before="0"/>
            </w:pPr>
            <w:r>
              <w:rPr>
                <w:sz w:val="16"/>
              </w:rPr>
              <w:t>static__slope_deg_p90</w:t>
            </w:r>
          </w:p>
        </w:tc>
        <w:tc>
          <w:tcPr>
            <w:tcW w:type="dxa" w:w="3969"/>
            <w:vAlign w:val="top"/>
          </w:tcPr>
          <w:p>
            <w:pPr>
              <w:spacing w:after="0" w:before="0"/>
            </w:pPr>
            <w:r>
              <w:rPr>
                <w:sz w:val="16"/>
              </w:rPr>
              <w:t>SLOPE</w:t>
            </w:r>
          </w:p>
        </w:tc>
      </w:tr>
      <w:tr>
        <w:trPr>
          <w:cantSplit w:val="true"/>
        </w:trPr>
        <w:tc>
          <w:tcPr>
            <w:tcW w:type="dxa" w:w="5102"/>
            <w:vAlign w:val="top"/>
          </w:tcPr>
          <w:p>
            <w:pPr>
              <w:spacing w:after="0" w:before="0"/>
            </w:pPr>
            <w:r>
              <w:rPr>
                <w:sz w:val="16"/>
              </w:rPr>
              <w:t>static__slope_fraction_ge15deg</w:t>
            </w:r>
          </w:p>
        </w:tc>
        <w:tc>
          <w:tcPr>
            <w:tcW w:type="dxa" w:w="3969"/>
            <w:vAlign w:val="top"/>
          </w:tcPr>
          <w:p>
            <w:pPr>
              <w:spacing w:after="0" w:before="0"/>
            </w:pPr>
            <w:r>
              <w:rPr>
                <w:sz w:val="16"/>
              </w:rPr>
              <w:t>SLOPE_THRESHOLD_FRACTION</w:t>
            </w:r>
          </w:p>
        </w:tc>
      </w:tr>
      <w:tr>
        <w:trPr>
          <w:cantSplit w:val="true"/>
        </w:trPr>
        <w:tc>
          <w:tcPr>
            <w:tcW w:type="dxa" w:w="5102"/>
            <w:vAlign w:val="top"/>
          </w:tcPr>
          <w:p>
            <w:pPr>
              <w:spacing w:after="0" w:before="0"/>
            </w:pPr>
            <w:r>
              <w:rPr>
                <w:sz w:val="16"/>
              </w:rPr>
              <w:t>static__slope_fraction_ge30deg</w:t>
            </w:r>
          </w:p>
        </w:tc>
        <w:tc>
          <w:tcPr>
            <w:tcW w:type="dxa" w:w="3969"/>
            <w:vAlign w:val="top"/>
          </w:tcPr>
          <w:p>
            <w:pPr>
              <w:spacing w:after="0" w:before="0"/>
            </w:pPr>
            <w:r>
              <w:rPr>
                <w:sz w:val="16"/>
              </w:rPr>
              <w:t>SLOPE_THRESHOLD_FRACTION</w:t>
            </w:r>
          </w:p>
        </w:tc>
      </w:tr>
    </w:tbl>
    <w:p/>
    <w:p>
      <w:pPr>
        <w:pStyle w:val="BodyText"/>
        <w:spacing w:before="40" w:after="80"/>
        <w:ind w:left="283" w:right="170"/>
      </w:pPr>
      <w:r>
        <w:rPr>
          <w:rFonts w:ascii="Courier New" w:hAnsi="Courier New"/>
          <w:sz w:val="17"/>
        </w:rPr>
        <w:t>nw_static_receptor_descriptor_whitelist_canonical_v1_1/static_receptor_descriptor_whitelist_canonical_v1_1.csv</w:t>
      </w:r>
    </w:p>
    <w:p>
      <w:pPr>
        <w:pStyle w:val="Heading1"/>
      </w:pPr>
      <w:r>
        <w:t>11. FASE 9 — Master dataset regionale canonico</w:t>
      </w:r>
    </w:p>
    <w:p>
      <w:r>
        <w:rPr>
          <w:b/>
        </w:rPr>
        <w:t xml:space="preserve">La Fase 9 è completata. </w:t>
      </w:r>
      <w:r>
        <w:t>Il master CORE fold-wise è l’artefatto centrale che unisce le label canoniche con 83 feature dinamiche e 14 descrittori statici, mantenendo il fold_id e la partition necessari a una validazione temporalmente corretta.</w:t>
      </w:r>
    </w:p>
    <w:p>
      <w:pPr>
        <w:pStyle w:val="BodyText"/>
        <w:spacing w:before="40" w:after="80"/>
        <w:ind w:left="283" w:right="170"/>
      </w:pPr>
      <w:r>
        <w:rPr>
          <w:rFonts w:ascii="Courier New" w:hAnsi="Courier New"/>
          <w:sz w:val="17"/>
        </w:rPr>
        <w:t>nw_hydroclimate_foldwise_master_core_canonical_v1_0/nw_hydroclimate_foldwise_master_core_v1_0.parquet</w:t>
      </w:r>
    </w:p>
    <w:p>
      <w:pPr>
        <w:pStyle w:val="BodyText"/>
        <w:spacing w:before="40" w:after="80"/>
        <w:ind w:left="283" w:right="170"/>
      </w:pPr>
      <w:r>
        <w:rPr>
          <w:rFonts w:ascii="Courier New" w:hAnsi="Courier New"/>
          <w:sz w:val="17"/>
        </w:rPr>
        <w:t>nw_hydroclimate_foldwise_master_core_canonical_v1_0/nw_hydroclimate_foldwise_master_core_v1_0.csv.gz</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3969"/>
            <w:shd w:fill="D9EAF7"/>
            <w:vAlign w:val="center"/>
          </w:tcPr>
          <w:p>
            <w:pPr>
              <w:jc w:val="center"/>
            </w:pPr>
            <w:r>
              <w:rPr>
                <w:b/>
                <w:sz w:val="17"/>
              </w:rPr>
              <w:t>Caratteristica</w:t>
            </w:r>
          </w:p>
        </w:tc>
        <w:tc>
          <w:tcPr>
            <w:tcW w:type="dxa" w:w="5386"/>
            <w:shd w:fill="D9EAF7"/>
            <w:vAlign w:val="center"/>
          </w:tcPr>
          <w:p>
            <w:pPr>
              <w:jc w:val="center"/>
            </w:pPr>
            <w:r>
              <w:rPr>
                <w:b/>
                <w:sz w:val="17"/>
              </w:rPr>
              <w:t>Valore finale</w:t>
            </w:r>
          </w:p>
        </w:tc>
      </w:tr>
      <w:tr>
        <w:trPr>
          <w:cantSplit w:val="true"/>
        </w:trPr>
        <w:tc>
          <w:tcPr>
            <w:tcW w:type="dxa" w:w="3969"/>
            <w:vAlign w:val="top"/>
          </w:tcPr>
          <w:p>
            <w:pPr>
              <w:spacing w:after="0" w:before="0"/>
            </w:pPr>
            <w:r>
              <w:rPr>
                <w:sz w:val="17"/>
              </w:rPr>
              <w:t>Righe</w:t>
            </w:r>
          </w:p>
        </w:tc>
        <w:tc>
          <w:tcPr>
            <w:tcW w:type="dxa" w:w="5386"/>
            <w:vAlign w:val="top"/>
          </w:tcPr>
          <w:p>
            <w:pPr>
              <w:spacing w:after="0" w:before="0"/>
            </w:pPr>
            <w:r>
              <w:rPr>
                <w:sz w:val="17"/>
              </w:rPr>
              <w:t>263.520</w:t>
            </w:r>
          </w:p>
        </w:tc>
      </w:tr>
      <w:tr>
        <w:trPr>
          <w:cantSplit w:val="true"/>
        </w:trPr>
        <w:tc>
          <w:tcPr>
            <w:tcW w:type="dxa" w:w="3969"/>
            <w:vAlign w:val="top"/>
          </w:tcPr>
          <w:p>
            <w:pPr>
              <w:spacing w:after="0" w:before="0"/>
            </w:pPr>
            <w:r>
              <w:rPr>
                <w:sz w:val="17"/>
              </w:rPr>
              <w:t>Recettori supervisionati</w:t>
            </w:r>
          </w:p>
        </w:tc>
        <w:tc>
          <w:tcPr>
            <w:tcW w:type="dxa" w:w="5386"/>
            <w:vAlign w:val="top"/>
          </w:tcPr>
          <w:p>
            <w:pPr>
              <w:spacing w:after="0" w:before="0"/>
            </w:pPr>
            <w:r>
              <w:rPr>
                <w:sz w:val="17"/>
              </w:rPr>
              <w:t>20</w:t>
            </w:r>
          </w:p>
        </w:tc>
      </w:tr>
      <w:tr>
        <w:trPr>
          <w:cantSplit w:val="true"/>
        </w:trPr>
        <w:tc>
          <w:tcPr>
            <w:tcW w:type="dxa" w:w="3969"/>
            <w:vAlign w:val="top"/>
          </w:tcPr>
          <w:p>
            <w:pPr>
              <w:spacing w:after="0" w:before="0"/>
            </w:pPr>
            <w:r>
              <w:rPr>
                <w:sz w:val="17"/>
              </w:rPr>
              <w:t>Fold</w:t>
            </w:r>
          </w:p>
        </w:tc>
        <w:tc>
          <w:tcPr>
            <w:tcW w:type="dxa" w:w="5386"/>
            <w:vAlign w:val="top"/>
          </w:tcPr>
          <w:p>
            <w:pPr>
              <w:spacing w:after="0" w:before="0"/>
            </w:pPr>
            <w:r>
              <w:rPr>
                <w:sz w:val="17"/>
              </w:rPr>
              <w:t>3</w:t>
            </w:r>
          </w:p>
        </w:tc>
      </w:tr>
      <w:tr>
        <w:trPr>
          <w:cantSplit w:val="true"/>
        </w:trPr>
        <w:tc>
          <w:tcPr>
            <w:tcW w:type="dxa" w:w="3969"/>
            <w:vAlign w:val="top"/>
          </w:tcPr>
          <w:p>
            <w:pPr>
              <w:spacing w:after="0" w:before="0"/>
            </w:pPr>
            <w:r>
              <w:rPr>
                <w:sz w:val="17"/>
              </w:rPr>
              <w:t>Predittori dinamici</w:t>
            </w:r>
          </w:p>
        </w:tc>
        <w:tc>
          <w:tcPr>
            <w:tcW w:type="dxa" w:w="5386"/>
            <w:vAlign w:val="top"/>
          </w:tcPr>
          <w:p>
            <w:pPr>
              <w:spacing w:after="0" w:before="0"/>
            </w:pPr>
            <w:r>
              <w:rPr>
                <w:sz w:val="17"/>
              </w:rPr>
              <w:t>83</w:t>
            </w:r>
          </w:p>
        </w:tc>
      </w:tr>
      <w:tr>
        <w:trPr>
          <w:cantSplit w:val="true"/>
        </w:trPr>
        <w:tc>
          <w:tcPr>
            <w:tcW w:type="dxa" w:w="3969"/>
            <w:vAlign w:val="top"/>
          </w:tcPr>
          <w:p>
            <w:pPr>
              <w:spacing w:after="0" w:before="0"/>
            </w:pPr>
            <w:r>
              <w:rPr>
                <w:sz w:val="17"/>
              </w:rPr>
              <w:t>Predittori statici</w:t>
            </w:r>
          </w:p>
        </w:tc>
        <w:tc>
          <w:tcPr>
            <w:tcW w:type="dxa" w:w="5386"/>
            <w:vAlign w:val="top"/>
          </w:tcPr>
          <w:p>
            <w:pPr>
              <w:spacing w:after="0" w:before="0"/>
            </w:pPr>
            <w:r>
              <w:rPr>
                <w:sz w:val="17"/>
              </w:rPr>
              <w:t>14</w:t>
            </w:r>
          </w:p>
        </w:tc>
      </w:tr>
      <w:tr>
        <w:trPr>
          <w:cantSplit w:val="true"/>
        </w:trPr>
        <w:tc>
          <w:tcPr>
            <w:tcW w:type="dxa" w:w="3969"/>
            <w:vAlign w:val="top"/>
          </w:tcPr>
          <w:p>
            <w:pPr>
              <w:spacing w:after="0" w:before="0"/>
            </w:pPr>
            <w:r>
              <w:rPr>
                <w:sz w:val="17"/>
              </w:rPr>
              <w:t>Predittori totali</w:t>
            </w:r>
          </w:p>
        </w:tc>
        <w:tc>
          <w:tcPr>
            <w:tcW w:type="dxa" w:w="5386"/>
            <w:vAlign w:val="top"/>
          </w:tcPr>
          <w:p>
            <w:pPr>
              <w:spacing w:after="0" w:before="0"/>
            </w:pPr>
            <w:r>
              <w:rPr>
                <w:sz w:val="17"/>
              </w:rPr>
              <w:t>97</w:t>
            </w:r>
          </w:p>
        </w:tc>
      </w:tr>
      <w:tr>
        <w:trPr>
          <w:cantSplit w:val="true"/>
        </w:trPr>
        <w:tc>
          <w:tcPr>
            <w:tcW w:type="dxa" w:w="3969"/>
            <w:vAlign w:val="top"/>
          </w:tcPr>
          <w:p>
            <w:pPr>
              <w:spacing w:after="0" w:before="0"/>
            </w:pPr>
            <w:r>
              <w:rPr>
                <w:sz w:val="17"/>
              </w:rPr>
              <w:t>Label</w:t>
            </w:r>
          </w:p>
        </w:tc>
        <w:tc>
          <w:tcPr>
            <w:tcW w:type="dxa" w:w="5386"/>
            <w:vAlign w:val="top"/>
          </w:tcPr>
          <w:p>
            <w:pPr>
              <w:spacing w:after="0" w:before="0"/>
            </w:pPr>
            <w:r>
              <w:rPr>
                <w:sz w:val="17"/>
              </w:rPr>
              <w:t>3: 24 h, 48 h, 72 h</w:t>
            </w:r>
          </w:p>
        </w:tc>
      </w:tr>
      <w:tr>
        <w:trPr>
          <w:cantSplit w:val="true"/>
        </w:trPr>
        <w:tc>
          <w:tcPr>
            <w:tcW w:type="dxa" w:w="3969"/>
            <w:vAlign w:val="top"/>
          </w:tcPr>
          <w:p>
            <w:pPr>
              <w:spacing w:after="0" w:before="0"/>
            </w:pPr>
            <w:r>
              <w:rPr>
                <w:sz w:val="17"/>
              </w:rPr>
              <w:t>Duplicati fold/receptor/issue_date</w:t>
            </w:r>
          </w:p>
        </w:tc>
        <w:tc>
          <w:tcPr>
            <w:tcW w:type="dxa" w:w="5386"/>
            <w:vAlign w:val="top"/>
          </w:tcPr>
          <w:p>
            <w:pPr>
              <w:spacing w:after="0" w:before="0"/>
            </w:pPr>
            <w:r>
              <w:rPr>
                <w:sz w:val="17"/>
              </w:rPr>
              <w:t>0</w:t>
            </w:r>
          </w:p>
        </w:tc>
      </w:tr>
      <w:tr>
        <w:trPr>
          <w:cantSplit w:val="true"/>
        </w:trPr>
        <w:tc>
          <w:tcPr>
            <w:tcW w:type="dxa" w:w="3969"/>
            <w:vAlign w:val="top"/>
          </w:tcPr>
          <w:p>
            <w:pPr>
              <w:spacing w:after="0" w:before="0"/>
            </w:pPr>
            <w:r>
              <w:rPr>
                <w:sz w:val="17"/>
              </w:rPr>
              <w:t>Join dinamico</w:t>
            </w:r>
          </w:p>
        </w:tc>
        <w:tc>
          <w:tcPr>
            <w:tcW w:type="dxa" w:w="5386"/>
            <w:vAlign w:val="top"/>
          </w:tcPr>
          <w:p>
            <w:pPr>
              <w:spacing w:after="0" w:before="0"/>
            </w:pPr>
            <w:r>
              <w:rPr>
                <w:sz w:val="17"/>
              </w:rPr>
              <w:t>1,000000</w:t>
            </w:r>
          </w:p>
        </w:tc>
      </w:tr>
      <w:tr>
        <w:trPr>
          <w:cantSplit w:val="true"/>
        </w:trPr>
        <w:tc>
          <w:tcPr>
            <w:tcW w:type="dxa" w:w="3969"/>
            <w:vAlign w:val="top"/>
          </w:tcPr>
          <w:p>
            <w:pPr>
              <w:spacing w:after="0" w:before="0"/>
            </w:pPr>
            <w:r>
              <w:rPr>
                <w:sz w:val="17"/>
              </w:rPr>
              <w:t>Join statico</w:t>
            </w:r>
          </w:p>
        </w:tc>
        <w:tc>
          <w:tcPr>
            <w:tcW w:type="dxa" w:w="5386"/>
            <w:vAlign w:val="top"/>
          </w:tcPr>
          <w:p>
            <w:pPr>
              <w:spacing w:after="0" w:before="0"/>
            </w:pPr>
            <w:r>
              <w:rPr>
                <w:sz w:val="17"/>
              </w:rPr>
              <w:t>1,000000</w:t>
            </w:r>
          </w:p>
        </w:tc>
      </w:tr>
      <w:tr>
        <w:trPr>
          <w:cantSplit w:val="true"/>
        </w:trPr>
        <w:tc>
          <w:tcPr>
            <w:tcW w:type="dxa" w:w="3969"/>
            <w:vAlign w:val="top"/>
          </w:tcPr>
          <w:p>
            <w:pPr>
              <w:spacing w:after="0" w:before="0"/>
            </w:pPr>
            <w:r>
              <w:rPr>
                <w:sz w:val="17"/>
              </w:rPr>
              <w:t>Forbidden predictor names</w:t>
            </w:r>
          </w:p>
        </w:tc>
        <w:tc>
          <w:tcPr>
            <w:tcW w:type="dxa" w:w="5386"/>
            <w:vAlign w:val="top"/>
          </w:tcPr>
          <w:p>
            <w:pPr>
              <w:spacing w:after="0" w:before="0"/>
            </w:pPr>
            <w:r>
              <w:rPr>
                <w:sz w:val="17"/>
              </w:rPr>
              <w:t>0</w:t>
            </w:r>
          </w:p>
        </w:tc>
      </w:tr>
      <w:tr>
        <w:trPr>
          <w:cantSplit w:val="true"/>
        </w:trPr>
        <w:tc>
          <w:tcPr>
            <w:tcW w:type="dxa" w:w="3969"/>
            <w:vAlign w:val="top"/>
          </w:tcPr>
          <w:p>
            <w:pPr>
              <w:spacing w:after="0" w:before="0"/>
            </w:pPr>
            <w:r>
              <w:rPr>
                <w:sz w:val="17"/>
              </w:rPr>
              <w:t>Missing statici</w:t>
            </w:r>
          </w:p>
        </w:tc>
        <w:tc>
          <w:tcPr>
            <w:tcW w:type="dxa" w:w="5386"/>
            <w:vAlign w:val="top"/>
          </w:tcPr>
          <w:p>
            <w:pPr>
              <w:spacing w:after="0" w:before="0"/>
            </w:pPr>
            <w:r>
              <w:rPr>
                <w:sz w:val="17"/>
              </w:rPr>
              <w:t>0</w:t>
            </w:r>
          </w:p>
        </w:tc>
      </w:tr>
      <w:tr>
        <w:trPr>
          <w:cantSplit w:val="true"/>
        </w:trPr>
        <w:tc>
          <w:tcPr>
            <w:tcW w:type="dxa" w:w="3969"/>
            <w:vAlign w:val="top"/>
          </w:tcPr>
          <w:p>
            <w:pPr>
              <w:spacing w:after="0" w:before="0"/>
            </w:pPr>
            <w:r>
              <w:rPr>
                <w:sz w:val="17"/>
              </w:rPr>
              <w:t>Mismatch riproduzione label</w:t>
            </w:r>
          </w:p>
        </w:tc>
        <w:tc>
          <w:tcPr>
            <w:tcW w:type="dxa" w:w="5386"/>
            <w:vAlign w:val="top"/>
          </w:tcPr>
          <w:p>
            <w:pPr>
              <w:spacing w:after="0" w:before="0"/>
            </w:pPr>
            <w:r>
              <w:rPr>
                <w:sz w:val="17"/>
              </w:rPr>
              <w:t>0</w:t>
            </w:r>
          </w:p>
        </w:tc>
      </w:tr>
      <w:tr>
        <w:trPr>
          <w:cantSplit w:val="true"/>
        </w:trPr>
        <w:tc>
          <w:tcPr>
            <w:tcW w:type="dxa" w:w="3969"/>
            <w:vAlign w:val="top"/>
          </w:tcPr>
          <w:p>
            <w:pPr>
              <w:spacing w:after="0" w:before="0"/>
            </w:pPr>
            <w:r>
              <w:rPr>
                <w:sz w:val="17"/>
              </w:rPr>
              <w:t>Stato</w:t>
            </w:r>
          </w:p>
        </w:tc>
        <w:tc>
          <w:tcPr>
            <w:tcW w:type="dxa" w:w="5386"/>
            <w:vAlign w:val="top"/>
          </w:tcPr>
          <w:p>
            <w:pPr>
              <w:spacing w:after="0" w:before="0"/>
            </w:pPr>
            <w:r>
              <w:rPr>
                <w:sz w:val="17"/>
              </w:rPr>
              <w:t>PASS_WITH_EXPECTED_DYNAMIC_MISSINGNESS → CLOSED / CANONICAL v1.0</w:t>
            </w:r>
          </w:p>
        </w:tc>
      </w:tr>
    </w:tbl>
    <w:p/>
    <w:p>
      <w:r>
        <w:rPr>
          <w:b/>
        </w:rPr>
        <w:t xml:space="preserve">Missingness dinamica ammessa. </w:t>
      </w:r>
      <w:r>
        <w:t>Il master non effettua imputazione globale. Restano i NaN strutturali delle finestre antecedenti a inizio settembre e i NaN MedSea associati a “no marine support”. Qualunque trasformazione necessaria a un modello deve essere stimata esclusivamente all’interno del FIT del fold.</w:t>
      </w:r>
    </w:p>
    <w:p>
      <w:pPr>
        <w:pStyle w:val="Heading1"/>
      </w:pPr>
      <w:r>
        <w:t>12. FASE 10 — Modello regionale CORE: benchmark, freeze e calibrazione</w:t>
      </w:r>
    </w:p>
    <w:p>
      <w:pPr>
        <w:pStyle w:val="Heading2"/>
      </w:pPr>
      <w:r>
        <w:t>12.1 Preflight di modellazione</w:t>
      </w:r>
    </w:p>
    <w:p>
      <w:pPr>
        <w:pStyle w:val="ListBullet"/>
        <w:spacing w:after="40"/>
      </w:pPr>
      <w:r>
        <w:t>Master letto da Parquet: 263.520 righe, 97 predittori.</w:t>
      </w:r>
    </w:p>
    <w:p>
      <w:pPr>
        <w:pStyle w:val="ListBullet"/>
        <w:spacing w:after="40"/>
      </w:pPr>
      <w:r>
        <w:t>0 predictor vietati e 0 predictor costanti nei FIT.</w:t>
      </w:r>
    </w:p>
    <w:p>
      <w:pPr>
        <w:pStyle w:val="ListBullet"/>
        <w:spacing w:after="40"/>
      </w:pPr>
      <w:r>
        <w:t>Tutti i receptor/fold/horizon hanno positivi nel FIT.</w:t>
      </w:r>
    </w:p>
    <w:p>
      <w:pPr>
        <w:pStyle w:val="ListBullet"/>
        <w:spacing w:after="40"/>
      </w:pPr>
      <w:r>
        <w:t>Scikit-learn operativo; nessuno scoring TEST nel preflight.</w:t>
      </w:r>
    </w:p>
    <w:p>
      <w:pPr>
        <w:pStyle w:val="ListBullet"/>
        <w:spacing w:after="40"/>
      </w:pPr>
      <w:r>
        <w:t>Metriche di selezione: Average Precision / PR-AUC primaria; ROC-AUC, Brier, log-loss e calibrazione secondarie.</w:t>
      </w:r>
    </w:p>
    <w:p>
      <w:pPr>
        <w:pStyle w:val="ListBullet"/>
        <w:spacing w:after="40"/>
      </w:pPr>
      <w:r>
        <w:t>Confronto previsto tra natural row weighting e receptor-balanced weighting.</w:t>
      </w:r>
    </w:p>
    <w:p>
      <w:pPr>
        <w:pStyle w:val="Heading2"/>
      </w:pPr>
      <w:r>
        <w:t>12.2 Correzione della policy di holdout</w:t>
      </w:r>
    </w:p>
    <w:p>
      <w:r>
        <w:t>È stato riconosciuto prima del benchmark che F1 TEST 2017–2019 coincide temporalmente con F2 VALIDATION e F2 TEST 2020–2022 coincide con F3 VALIDATION. Di conseguenza questi periodi non possono essere riutilizzati come holdout finali indipendenti se le validation successive partecipano alla scelta del modello. Il solo holdout finale realmente incontaminato è quindi F3 TEST 2023–2025.</w:t>
      </w:r>
    </w:p>
    <w:p>
      <w:pPr>
        <w:pStyle w:val="Heading2"/>
      </w:pPr>
      <w:r>
        <w:t>12.3 Benchmark validation-only</w:t>
      </w:r>
    </w:p>
    <w:p>
      <w:r>
        <w:t>Sono stati eseguiti 171 fitting: 19 configurazioni × 3 fold × 3 orizzonti. Nessuna partizione TEST è stata valutata. Candidate families: baseline climatologiche, Logistic Elastic-Net e HistGradientBoosting, con due strategie di weighting per i modelli non baseline.</w:t>
      </w:r>
    </w:p>
    <w:p>
      <w:pPr>
        <w:pStyle w:val="ListBullet"/>
        <w:spacing w:after="40"/>
      </w:pPr>
      <w:r>
        <w:t>Candidate fit failures: 0.</w:t>
      </w:r>
    </w:p>
    <w:p>
      <w:pPr>
        <w:pStyle w:val="ListBullet"/>
        <w:spacing w:after="40"/>
      </w:pPr>
      <w:r>
        <w:t>TEST model scoring performed: False.</w:t>
      </w:r>
    </w:p>
    <w:p>
      <w:pPr>
        <w:pStyle w:val="ListBullet"/>
        <w:spacing w:after="40"/>
      </w:pPr>
      <w:r>
        <w:t>La famiglia HistGradientBoosting è risultata prima a tutti gli orizzonti.</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rPr>
          <w:tblHeader w:val="true"/>
          <w:cantSplit w:val="true"/>
        </w:trPr>
        <w:tc>
          <w:tcPr>
            <w:tcW w:type="dxa" w:w="1020"/>
            <w:shd w:fill="D9EAF7"/>
            <w:vAlign w:val="center"/>
          </w:tcPr>
          <w:p>
            <w:pPr>
              <w:jc w:val="center"/>
            </w:pPr>
            <w:r>
              <w:rPr>
                <w:b/>
                <w:sz w:val="15"/>
              </w:rPr>
              <w:t>Orizzonte</w:t>
            </w:r>
          </w:p>
        </w:tc>
        <w:tc>
          <w:tcPr>
            <w:tcW w:type="dxa" w:w="2551"/>
            <w:shd w:fill="D9EAF7"/>
            <w:vAlign w:val="center"/>
          </w:tcPr>
          <w:p>
            <w:pPr>
              <w:jc w:val="center"/>
            </w:pPr>
            <w:r>
              <w:rPr>
                <w:b/>
                <w:sz w:val="15"/>
              </w:rPr>
              <w:t>Config ID</w:t>
            </w:r>
          </w:p>
        </w:tc>
        <w:tc>
          <w:tcPr>
            <w:tcW w:type="dxa" w:w="1814"/>
            <w:shd w:fill="D9EAF7"/>
            <w:vAlign w:val="center"/>
          </w:tcPr>
          <w:p>
            <w:pPr>
              <w:jc w:val="center"/>
            </w:pPr>
            <w:r>
              <w:rPr>
                <w:b/>
                <w:sz w:val="15"/>
              </w:rPr>
              <w:t>Modello</w:t>
            </w:r>
          </w:p>
        </w:tc>
        <w:tc>
          <w:tcPr>
            <w:tcW w:type="dxa" w:w="1701"/>
            <w:shd w:fill="D9EAF7"/>
            <w:vAlign w:val="center"/>
          </w:tcPr>
          <w:p>
            <w:pPr>
              <w:jc w:val="center"/>
            </w:pPr>
            <w:r>
              <w:rPr>
                <w:b/>
                <w:sz w:val="15"/>
              </w:rPr>
              <w:t>Weighting</w:t>
            </w:r>
          </w:p>
        </w:tc>
        <w:tc>
          <w:tcPr>
            <w:tcW w:type="dxa" w:w="2551"/>
            <w:shd w:fill="D9EAF7"/>
            <w:vAlign w:val="center"/>
          </w:tcPr>
          <w:p>
            <w:pPr>
              <w:jc w:val="center"/>
            </w:pPr>
            <w:r>
              <w:rPr>
                <w:b/>
                <w:sz w:val="15"/>
              </w:rPr>
              <w:t>Iperparametri</w:t>
            </w:r>
          </w:p>
        </w:tc>
        <w:tc>
          <w:tcPr>
            <w:tcW w:type="dxa" w:w="1417"/>
            <w:shd w:fill="D9EAF7"/>
            <w:vAlign w:val="center"/>
          </w:tcPr>
          <w:p>
            <w:pPr>
              <w:jc w:val="center"/>
            </w:pPr>
            <w:r>
              <w:rPr>
                <w:b/>
                <w:sz w:val="15"/>
              </w:rPr>
              <w:t>Mean validation AP</w:t>
            </w:r>
          </w:p>
        </w:tc>
      </w:tr>
      <w:tr>
        <w:trPr>
          <w:cantSplit w:val="true"/>
        </w:trPr>
        <w:tc>
          <w:tcPr>
            <w:tcW w:type="dxa" w:w="1020"/>
            <w:vAlign w:val="top"/>
          </w:tcPr>
          <w:p>
            <w:pPr>
              <w:spacing w:after="0" w:before="0"/>
            </w:pPr>
            <w:r>
              <w:rPr>
                <w:sz w:val="15"/>
              </w:rPr>
              <w:t>24 h</w:t>
            </w:r>
          </w:p>
        </w:tc>
        <w:tc>
          <w:tcPr>
            <w:tcW w:type="dxa" w:w="2551"/>
            <w:vAlign w:val="top"/>
          </w:tcPr>
          <w:p>
            <w:pPr>
              <w:spacing w:after="0" w:before="0"/>
            </w:pPr>
            <w:r>
              <w:rPr>
                <w:sz w:val="15"/>
              </w:rPr>
              <w:t>M2_HGB_W2_LR0p1_LEAF31_L21p0</w:t>
            </w:r>
          </w:p>
        </w:tc>
        <w:tc>
          <w:tcPr>
            <w:tcW w:type="dxa" w:w="1814"/>
            <w:vAlign w:val="top"/>
          </w:tcPr>
          <w:p>
            <w:pPr>
              <w:spacing w:after="0" w:before="0"/>
            </w:pPr>
            <w:r>
              <w:rPr>
                <w:sz w:val="15"/>
              </w:rPr>
              <w:t>HistGradientBoosting</w:t>
            </w:r>
          </w:p>
        </w:tc>
        <w:tc>
          <w:tcPr>
            <w:tcW w:type="dxa" w:w="1701"/>
            <w:vAlign w:val="top"/>
          </w:tcPr>
          <w:p>
            <w:pPr>
              <w:spacing w:after="0" w:before="0"/>
            </w:pPr>
            <w:r>
              <w:rPr>
                <w:sz w:val="15"/>
              </w:rPr>
              <w:t>Receptor-balanced</w:t>
            </w:r>
          </w:p>
        </w:tc>
        <w:tc>
          <w:tcPr>
            <w:tcW w:type="dxa" w:w="2551"/>
            <w:vAlign w:val="top"/>
          </w:tcPr>
          <w:p>
            <w:pPr>
              <w:spacing w:after="0" w:before="0"/>
            </w:pPr>
            <w:r>
              <w:rPr>
                <w:sz w:val="15"/>
              </w:rPr>
              <w:t>learning_rate=0,10; max_leaf_nodes=31; l2=1,0</w:t>
            </w:r>
          </w:p>
        </w:tc>
        <w:tc>
          <w:tcPr>
            <w:tcW w:type="dxa" w:w="1417"/>
            <w:vAlign w:val="top"/>
          </w:tcPr>
          <w:p>
            <w:pPr>
              <w:spacing w:after="0" w:before="0"/>
            </w:pPr>
            <w:r>
              <w:rPr>
                <w:sz w:val="15"/>
              </w:rPr>
              <w:t>0,631</w:t>
            </w:r>
          </w:p>
        </w:tc>
      </w:tr>
      <w:tr>
        <w:trPr>
          <w:cantSplit w:val="true"/>
        </w:trPr>
        <w:tc>
          <w:tcPr>
            <w:tcW w:type="dxa" w:w="1020"/>
            <w:vAlign w:val="top"/>
          </w:tcPr>
          <w:p>
            <w:pPr>
              <w:spacing w:after="0" w:before="0"/>
            </w:pPr>
            <w:r>
              <w:rPr>
                <w:sz w:val="15"/>
              </w:rPr>
              <w:t>48 h</w:t>
            </w:r>
          </w:p>
        </w:tc>
        <w:tc>
          <w:tcPr>
            <w:tcW w:type="dxa" w:w="2551"/>
            <w:vAlign w:val="top"/>
          </w:tcPr>
          <w:p>
            <w:pPr>
              <w:spacing w:after="0" w:before="0"/>
            </w:pPr>
            <w:r>
              <w:rPr>
                <w:sz w:val="15"/>
              </w:rPr>
              <w:t>M2_HGB_W2_LR0p1_LEAF31_L21p0</w:t>
            </w:r>
          </w:p>
        </w:tc>
        <w:tc>
          <w:tcPr>
            <w:tcW w:type="dxa" w:w="1814"/>
            <w:vAlign w:val="top"/>
          </w:tcPr>
          <w:p>
            <w:pPr>
              <w:spacing w:after="0" w:before="0"/>
            </w:pPr>
            <w:r>
              <w:rPr>
                <w:sz w:val="15"/>
              </w:rPr>
              <w:t>HistGradientBoosting</w:t>
            </w:r>
          </w:p>
        </w:tc>
        <w:tc>
          <w:tcPr>
            <w:tcW w:type="dxa" w:w="1701"/>
            <w:vAlign w:val="top"/>
          </w:tcPr>
          <w:p>
            <w:pPr>
              <w:spacing w:after="0" w:before="0"/>
            </w:pPr>
            <w:r>
              <w:rPr>
                <w:sz w:val="15"/>
              </w:rPr>
              <w:t>Receptor-balanced</w:t>
            </w:r>
          </w:p>
        </w:tc>
        <w:tc>
          <w:tcPr>
            <w:tcW w:type="dxa" w:w="2551"/>
            <w:vAlign w:val="top"/>
          </w:tcPr>
          <w:p>
            <w:pPr>
              <w:spacing w:after="0" w:before="0"/>
            </w:pPr>
            <w:r>
              <w:rPr>
                <w:sz w:val="15"/>
              </w:rPr>
              <w:t>learning_rate=0,10; max_leaf_nodes=31; l2=1,0</w:t>
            </w:r>
          </w:p>
        </w:tc>
        <w:tc>
          <w:tcPr>
            <w:tcW w:type="dxa" w:w="1417"/>
            <w:vAlign w:val="top"/>
          </w:tcPr>
          <w:p>
            <w:pPr>
              <w:spacing w:after="0" w:before="0"/>
            </w:pPr>
            <w:r>
              <w:rPr>
                <w:sz w:val="15"/>
              </w:rPr>
              <w:t>0,583</w:t>
            </w:r>
          </w:p>
        </w:tc>
      </w:tr>
      <w:tr>
        <w:trPr>
          <w:cantSplit w:val="true"/>
        </w:trPr>
        <w:tc>
          <w:tcPr>
            <w:tcW w:type="dxa" w:w="1020"/>
            <w:vAlign w:val="top"/>
          </w:tcPr>
          <w:p>
            <w:pPr>
              <w:spacing w:after="0" w:before="0"/>
            </w:pPr>
            <w:r>
              <w:rPr>
                <w:sz w:val="15"/>
              </w:rPr>
              <w:t>72 h</w:t>
            </w:r>
          </w:p>
        </w:tc>
        <w:tc>
          <w:tcPr>
            <w:tcW w:type="dxa" w:w="2551"/>
            <w:vAlign w:val="top"/>
          </w:tcPr>
          <w:p>
            <w:pPr>
              <w:spacing w:after="0" w:before="0"/>
            </w:pPr>
            <w:r>
              <w:rPr>
                <w:sz w:val="15"/>
              </w:rPr>
              <w:t>M2_HGB_W1_LR0p05_LEAF15_L21p0</w:t>
            </w:r>
          </w:p>
        </w:tc>
        <w:tc>
          <w:tcPr>
            <w:tcW w:type="dxa" w:w="1814"/>
            <w:vAlign w:val="top"/>
          </w:tcPr>
          <w:p>
            <w:pPr>
              <w:spacing w:after="0" w:before="0"/>
            </w:pPr>
            <w:r>
              <w:rPr>
                <w:sz w:val="15"/>
              </w:rPr>
              <w:t>HistGradientBoosting</w:t>
            </w:r>
          </w:p>
        </w:tc>
        <w:tc>
          <w:tcPr>
            <w:tcW w:type="dxa" w:w="1701"/>
            <w:vAlign w:val="top"/>
          </w:tcPr>
          <w:p>
            <w:pPr>
              <w:spacing w:after="0" w:before="0"/>
            </w:pPr>
            <w:r>
              <w:rPr>
                <w:sz w:val="15"/>
              </w:rPr>
              <w:t>Natural row weighting</w:t>
            </w:r>
          </w:p>
        </w:tc>
        <w:tc>
          <w:tcPr>
            <w:tcW w:type="dxa" w:w="2551"/>
            <w:vAlign w:val="top"/>
          </w:tcPr>
          <w:p>
            <w:pPr>
              <w:spacing w:after="0" w:before="0"/>
            </w:pPr>
            <w:r>
              <w:rPr>
                <w:sz w:val="15"/>
              </w:rPr>
              <w:t>learning_rate=0,05; max_leaf_nodes=15; l2=1,0</w:t>
            </w:r>
          </w:p>
        </w:tc>
        <w:tc>
          <w:tcPr>
            <w:tcW w:type="dxa" w:w="1417"/>
            <w:vAlign w:val="top"/>
          </w:tcPr>
          <w:p>
            <w:pPr>
              <w:spacing w:after="0" w:before="0"/>
            </w:pPr>
            <w:r>
              <w:rPr>
                <w:sz w:val="15"/>
              </w:rPr>
              <w:t>0,542</w:t>
            </w:r>
          </w:p>
        </w:tc>
      </w:tr>
    </w:tbl>
    <w:p/>
    <w:p>
      <w:pPr>
        <w:pStyle w:val="Heading2"/>
      </w:pPr>
      <w:r>
        <w:t>12.4 Freeze sviluppo, calibrazione e soglie</w:t>
      </w:r>
    </w:p>
    <w:p>
      <w:r>
        <w:t>Le configurazioni selezionate sono state congelate. I modelli sono stati rifittati sui FIT; le predizioni OOF sono state prodotte esclusivamente sulle VALIDATION 2014–2022. Su queste predizioni è stata stimata una calibrazione Platt pooled per orizzonte. I modelli base definitivi sono stati poi rifittati sul solo F3 FIT, cioè sui dati fino al 2019.</w:t>
      </w:r>
    </w:p>
    <w:tbl>
      <w:tblPr>
        <w:tblStyle w:val="TableGrid"/>
        <w:tblW w:type="auto" w:w="0"/>
        <w:jc w:val="center"/>
        <w:tblLook w:firstColumn="1" w:firstRow="1" w:lastColumn="0" w:lastRow="0" w:noHBand="0" w:noVBand="1" w:val="04A0"/>
      </w:tblPr>
      <w:tblGrid>
        <w:gridCol w:w="1972"/>
        <w:gridCol w:w="1972"/>
        <w:gridCol w:w="1972"/>
        <w:gridCol w:w="1972"/>
        <w:gridCol w:w="1972"/>
      </w:tblGrid>
      <w:tr>
        <w:trPr>
          <w:tblHeader w:val="true"/>
          <w:cantSplit w:val="true"/>
        </w:trPr>
        <w:tc>
          <w:tcPr>
            <w:tcW w:type="dxa" w:w="1417"/>
            <w:shd w:fill="D9EAF7"/>
            <w:vAlign w:val="center"/>
          </w:tcPr>
          <w:p>
            <w:pPr>
              <w:jc w:val="center"/>
            </w:pPr>
            <w:r>
              <w:rPr>
                <w:b/>
                <w:sz w:val="17"/>
              </w:rPr>
              <w:t>Orizzonte</w:t>
            </w:r>
          </w:p>
        </w:tc>
        <w:tc>
          <w:tcPr>
            <w:tcW w:type="dxa" w:w="1814"/>
            <w:shd w:fill="D9EAF7"/>
            <w:vAlign w:val="center"/>
          </w:tcPr>
          <w:p>
            <w:pPr>
              <w:jc w:val="center"/>
            </w:pPr>
            <w:r>
              <w:rPr>
                <w:b/>
                <w:sz w:val="17"/>
              </w:rPr>
              <w:t>Brier raw dev.</w:t>
            </w:r>
          </w:p>
        </w:tc>
        <w:tc>
          <w:tcPr>
            <w:tcW w:type="dxa" w:w="1928"/>
            <w:shd w:fill="D9EAF7"/>
            <w:vAlign w:val="center"/>
          </w:tcPr>
          <w:p>
            <w:pPr>
              <w:jc w:val="center"/>
            </w:pPr>
            <w:r>
              <w:rPr>
                <w:b/>
                <w:sz w:val="17"/>
              </w:rPr>
              <w:t>Brier calibrato dev.</w:t>
            </w:r>
          </w:p>
        </w:tc>
        <w:tc>
          <w:tcPr>
            <w:tcW w:type="dxa" w:w="1928"/>
            <w:shd w:fill="D9EAF7"/>
            <w:vAlign w:val="center"/>
          </w:tcPr>
          <w:p>
            <w:pPr>
              <w:jc w:val="center"/>
            </w:pPr>
            <w:r>
              <w:rPr>
                <w:b/>
                <w:sz w:val="17"/>
              </w:rPr>
              <w:t>Soglia MAX_CSI</w:t>
            </w:r>
          </w:p>
        </w:tc>
        <w:tc>
          <w:tcPr>
            <w:tcW w:type="dxa" w:w="2041"/>
            <w:shd w:fill="D9EAF7"/>
            <w:vAlign w:val="center"/>
          </w:tcPr>
          <w:p>
            <w:pPr>
              <w:jc w:val="center"/>
            </w:pPr>
            <w:r>
              <w:rPr>
                <w:b/>
                <w:sz w:val="17"/>
              </w:rPr>
              <w:t>Soglia recall≈80%</w:t>
            </w:r>
          </w:p>
        </w:tc>
      </w:tr>
      <w:tr>
        <w:trPr>
          <w:cantSplit w:val="true"/>
        </w:trPr>
        <w:tc>
          <w:tcPr>
            <w:tcW w:type="dxa" w:w="1417"/>
            <w:vAlign w:val="top"/>
          </w:tcPr>
          <w:p>
            <w:pPr>
              <w:spacing w:after="0" w:before="0"/>
            </w:pPr>
            <w:r>
              <w:rPr>
                <w:sz w:val="17"/>
              </w:rPr>
              <w:t>24 h</w:t>
            </w:r>
          </w:p>
        </w:tc>
        <w:tc>
          <w:tcPr>
            <w:tcW w:type="dxa" w:w="1814"/>
            <w:vAlign w:val="top"/>
          </w:tcPr>
          <w:p>
            <w:pPr>
              <w:spacing w:after="0" w:before="0"/>
            </w:pPr>
            <w:r>
              <w:rPr>
                <w:sz w:val="17"/>
              </w:rPr>
              <w:t>0,03095</w:t>
            </w:r>
          </w:p>
        </w:tc>
        <w:tc>
          <w:tcPr>
            <w:tcW w:type="dxa" w:w="1928"/>
            <w:vAlign w:val="top"/>
          </w:tcPr>
          <w:p>
            <w:pPr>
              <w:spacing w:after="0" w:before="0"/>
            </w:pPr>
            <w:r>
              <w:rPr>
                <w:sz w:val="17"/>
              </w:rPr>
              <w:t>0,02900</w:t>
            </w:r>
          </w:p>
        </w:tc>
        <w:tc>
          <w:tcPr>
            <w:tcW w:type="dxa" w:w="1928"/>
            <w:vAlign w:val="top"/>
          </w:tcPr>
          <w:p>
            <w:pPr>
              <w:spacing w:after="0" w:before="0"/>
            </w:pPr>
            <w:r>
              <w:rPr>
                <w:sz w:val="17"/>
              </w:rPr>
              <w:t>0,321</w:t>
            </w:r>
          </w:p>
        </w:tc>
        <w:tc>
          <w:tcPr>
            <w:tcW w:type="dxa" w:w="2041"/>
            <w:vAlign w:val="top"/>
          </w:tcPr>
          <w:p>
            <w:pPr>
              <w:spacing w:after="0" w:before="0"/>
            </w:pPr>
            <w:r>
              <w:rPr>
                <w:sz w:val="17"/>
              </w:rPr>
              <w:t>0,132</w:t>
            </w:r>
          </w:p>
        </w:tc>
      </w:tr>
      <w:tr>
        <w:trPr>
          <w:cantSplit w:val="true"/>
        </w:trPr>
        <w:tc>
          <w:tcPr>
            <w:tcW w:type="dxa" w:w="1417"/>
            <w:vAlign w:val="top"/>
          </w:tcPr>
          <w:p>
            <w:pPr>
              <w:spacing w:after="0" w:before="0"/>
            </w:pPr>
            <w:r>
              <w:rPr>
                <w:sz w:val="17"/>
              </w:rPr>
              <w:t>48 h</w:t>
            </w:r>
          </w:p>
        </w:tc>
        <w:tc>
          <w:tcPr>
            <w:tcW w:type="dxa" w:w="1814"/>
            <w:vAlign w:val="top"/>
          </w:tcPr>
          <w:p>
            <w:pPr>
              <w:spacing w:after="0" w:before="0"/>
            </w:pPr>
            <w:r>
              <w:rPr>
                <w:sz w:val="17"/>
              </w:rPr>
              <w:t>0,04175</w:t>
            </w:r>
          </w:p>
        </w:tc>
        <w:tc>
          <w:tcPr>
            <w:tcW w:type="dxa" w:w="1928"/>
            <w:vAlign w:val="top"/>
          </w:tcPr>
          <w:p>
            <w:pPr>
              <w:spacing w:after="0" w:before="0"/>
            </w:pPr>
            <w:r>
              <w:rPr>
                <w:sz w:val="17"/>
              </w:rPr>
              <w:t>0,04020</w:t>
            </w:r>
          </w:p>
        </w:tc>
        <w:tc>
          <w:tcPr>
            <w:tcW w:type="dxa" w:w="1928"/>
            <w:vAlign w:val="top"/>
          </w:tcPr>
          <w:p>
            <w:pPr>
              <w:spacing w:after="0" w:before="0"/>
            </w:pPr>
            <w:r>
              <w:rPr>
                <w:sz w:val="17"/>
              </w:rPr>
              <w:t>0,355</w:t>
            </w:r>
          </w:p>
        </w:tc>
        <w:tc>
          <w:tcPr>
            <w:tcW w:type="dxa" w:w="2041"/>
            <w:vAlign w:val="top"/>
          </w:tcPr>
          <w:p>
            <w:pPr>
              <w:spacing w:after="0" w:before="0"/>
            </w:pPr>
            <w:r>
              <w:rPr>
                <w:sz w:val="17"/>
              </w:rPr>
              <w:t>0,095</w:t>
            </w:r>
          </w:p>
        </w:tc>
      </w:tr>
      <w:tr>
        <w:trPr>
          <w:cantSplit w:val="true"/>
        </w:trPr>
        <w:tc>
          <w:tcPr>
            <w:tcW w:type="dxa" w:w="1417"/>
            <w:vAlign w:val="top"/>
          </w:tcPr>
          <w:p>
            <w:pPr>
              <w:spacing w:after="0" w:before="0"/>
            </w:pPr>
            <w:r>
              <w:rPr>
                <w:sz w:val="17"/>
              </w:rPr>
              <w:t>72 h</w:t>
            </w:r>
          </w:p>
        </w:tc>
        <w:tc>
          <w:tcPr>
            <w:tcW w:type="dxa" w:w="1814"/>
            <w:vAlign w:val="top"/>
          </w:tcPr>
          <w:p>
            <w:pPr>
              <w:spacing w:after="0" w:before="0"/>
            </w:pPr>
            <w:r>
              <w:rPr>
                <w:sz w:val="17"/>
              </w:rPr>
              <w:t>0,05182</w:t>
            </w:r>
          </w:p>
        </w:tc>
        <w:tc>
          <w:tcPr>
            <w:tcW w:type="dxa" w:w="1928"/>
            <w:vAlign w:val="top"/>
          </w:tcPr>
          <w:p>
            <w:pPr>
              <w:spacing w:after="0" w:before="0"/>
            </w:pPr>
            <w:r>
              <w:rPr>
                <w:sz w:val="17"/>
              </w:rPr>
              <w:t>0,05099</w:t>
            </w:r>
          </w:p>
        </w:tc>
        <w:tc>
          <w:tcPr>
            <w:tcW w:type="dxa" w:w="1928"/>
            <w:vAlign w:val="top"/>
          </w:tcPr>
          <w:p>
            <w:pPr>
              <w:spacing w:after="0" w:before="0"/>
            </w:pPr>
            <w:r>
              <w:rPr>
                <w:sz w:val="17"/>
              </w:rPr>
              <w:t>0,340</w:t>
            </w:r>
          </w:p>
        </w:tc>
        <w:tc>
          <w:tcPr>
            <w:tcW w:type="dxa" w:w="2041"/>
            <w:vAlign w:val="top"/>
          </w:tcPr>
          <w:p>
            <w:pPr>
              <w:spacing w:after="0" w:before="0"/>
            </w:pPr>
            <w:r>
              <w:rPr>
                <w:sz w:val="17"/>
              </w:rPr>
              <w:t>0,078</w:t>
            </w:r>
          </w:p>
        </w:tc>
      </w:tr>
    </w:tbl>
    <w:p/>
    <w:p>
      <w:pPr>
        <w:pStyle w:val="BodyText"/>
        <w:spacing w:before="40" w:after="80"/>
        <w:ind w:left="283" w:right="170"/>
      </w:pPr>
      <w:r>
        <w:rPr>
          <w:rFonts w:ascii="Courier New" w:hAnsi="Courier New"/>
          <w:sz w:val="17"/>
        </w:rPr>
        <w:t>nw_flood_models_frozen_development_v1_2/frozen_model_protocol_v1_2.csv</w:t>
      </w:r>
    </w:p>
    <w:p>
      <w:pPr>
        <w:pStyle w:val="BodyText"/>
        <w:spacing w:before="40" w:after="80"/>
        <w:ind w:left="283" w:right="170"/>
      </w:pPr>
      <w:r>
        <w:rPr>
          <w:rFonts w:ascii="Courier New" w:hAnsi="Courier New"/>
          <w:sz w:val="17"/>
        </w:rPr>
        <w:t>nw_flood_models_frozen_development_v1_2/models/</w:t>
      </w:r>
    </w:p>
    <w:tbl>
      <w:tblPr>
        <w:tblStyle w:val="TableGrid"/>
        <w:tblW w:type="auto" w:w="0"/>
        <w:jc w:val="center"/>
        <w:tblLook w:firstColumn="1" w:firstRow="1" w:lastColumn="0" w:lastRow="0" w:noHBand="0" w:noVBand="1" w:val="04A0"/>
      </w:tblPr>
      <w:tblGrid>
        <w:gridCol w:w="9858"/>
      </w:tblGrid>
      <w:tr>
        <w:tc>
          <w:tcPr>
            <w:tcW w:type="dxa" w:w="9858"/>
            <w:shd w:fill="F3F6F8"/>
          </w:tcPr>
          <w:p>
            <w:pPr>
              <w:spacing w:after="0"/>
            </w:pPr>
            <w:r>
              <w:rPr>
                <w:b/>
              </w:rPr>
              <w:t xml:space="preserve">Nota — </w:t>
            </w:r>
            <w:r>
              <w:t>Le metriche post-calibrazione 2014–2022 sono diagnostiche di sviluppo, non stime unbiased della performance finale.</w:t>
            </w:r>
          </w:p>
        </w:tc>
      </w:tr>
    </w:tbl>
    <w:p/>
    <w:p>
      <w:pPr>
        <w:pStyle w:val="Heading1"/>
      </w:pPr>
      <w:r>
        <w:t>13. Validazione finale indipendente 2023–2025</w:t>
      </w:r>
    </w:p>
    <w:p>
      <w:r>
        <w:rPr>
          <w:b/>
        </w:rPr>
        <w:t xml:space="preserve">Il final holdout è stato aperto una sola volta. </w:t>
      </w:r>
      <w:r>
        <w:t>Lo script one-shot ha verificato i checksum degli artefatti congelati, creato un file-sentinella e valutato esclusivamente F3 TEST 2023–2025. Modelli, calibratori e soglie non sono stati modificati.</w:t>
      </w:r>
    </w:p>
    <w:tbl>
      <w:tblPr>
        <w:tblStyle w:val="TableGrid"/>
        <w:tblW w:type="auto" w:w="0"/>
        <w:jc w:val="center"/>
        <w:tblLook w:firstColumn="1" w:firstRow="1" w:lastColumn="0" w:lastRow="0" w:noHBand="0" w:noVBand="1" w:val="04A0"/>
      </w:tblPr>
      <w:tblGrid>
        <w:gridCol w:w="986"/>
        <w:gridCol w:w="986"/>
        <w:gridCol w:w="986"/>
        <w:gridCol w:w="986"/>
        <w:gridCol w:w="986"/>
        <w:gridCol w:w="986"/>
        <w:gridCol w:w="986"/>
        <w:gridCol w:w="986"/>
        <w:gridCol w:w="986"/>
        <w:gridCol w:w="986"/>
      </w:tblGrid>
      <w:tr>
        <w:trPr>
          <w:tblHeader w:val="true"/>
          <w:cantSplit w:val="true"/>
        </w:trPr>
        <w:tc>
          <w:tcPr>
            <w:tcW w:type="dxa" w:w="907"/>
            <w:shd w:fill="D9EAF7"/>
            <w:vAlign w:val="center"/>
          </w:tcPr>
          <w:p>
            <w:pPr>
              <w:jc w:val="center"/>
            </w:pPr>
            <w:r>
              <w:rPr>
                <w:b/>
                <w:sz w:val="15"/>
              </w:rPr>
              <w:t>Orizzonte</w:t>
            </w:r>
          </w:p>
        </w:tc>
        <w:tc>
          <w:tcPr>
            <w:tcW w:type="dxa" w:w="1134"/>
            <w:shd w:fill="D9EAF7"/>
            <w:vAlign w:val="center"/>
          </w:tcPr>
          <w:p>
            <w:pPr>
              <w:jc w:val="center"/>
            </w:pPr>
            <w:r>
              <w:rPr>
                <w:b/>
                <w:sz w:val="15"/>
              </w:rPr>
              <w:t>Righe test</w:t>
            </w:r>
          </w:p>
        </w:tc>
        <w:tc>
          <w:tcPr>
            <w:tcW w:type="dxa" w:w="1020"/>
            <w:shd w:fill="D9EAF7"/>
            <w:vAlign w:val="center"/>
          </w:tcPr>
          <w:p>
            <w:pPr>
              <w:jc w:val="center"/>
            </w:pPr>
            <w:r>
              <w:rPr>
                <w:b/>
                <w:sz w:val="15"/>
              </w:rPr>
              <w:t>Positivi</w:t>
            </w:r>
          </w:p>
        </w:tc>
        <w:tc>
          <w:tcPr>
            <w:tcW w:type="dxa" w:w="1191"/>
            <w:shd w:fill="D9EAF7"/>
            <w:vAlign w:val="center"/>
          </w:tcPr>
          <w:p>
            <w:pPr>
              <w:jc w:val="center"/>
            </w:pPr>
            <w:r>
              <w:rPr>
                <w:b/>
                <w:sz w:val="15"/>
              </w:rPr>
              <w:t>Prevalenza</w:t>
            </w:r>
          </w:p>
        </w:tc>
        <w:tc>
          <w:tcPr>
            <w:tcW w:type="dxa" w:w="850"/>
            <w:shd w:fill="D9EAF7"/>
            <w:vAlign w:val="center"/>
          </w:tcPr>
          <w:p>
            <w:pPr>
              <w:jc w:val="center"/>
            </w:pPr>
            <w:r>
              <w:rPr>
                <w:b/>
                <w:sz w:val="15"/>
              </w:rPr>
              <w:t>AP</w:t>
            </w:r>
          </w:p>
        </w:tc>
        <w:tc>
          <w:tcPr>
            <w:tcW w:type="dxa" w:w="1020"/>
            <w:shd w:fill="D9EAF7"/>
            <w:vAlign w:val="center"/>
          </w:tcPr>
          <w:p>
            <w:pPr>
              <w:jc w:val="center"/>
            </w:pPr>
            <w:r>
              <w:rPr>
                <w:b/>
                <w:sz w:val="15"/>
              </w:rPr>
              <w:t>ROC-AUC</w:t>
            </w:r>
          </w:p>
        </w:tc>
        <w:tc>
          <w:tcPr>
            <w:tcW w:type="dxa" w:w="1020"/>
            <w:shd w:fill="D9EAF7"/>
            <w:vAlign w:val="center"/>
          </w:tcPr>
          <w:p>
            <w:pPr>
              <w:jc w:val="center"/>
            </w:pPr>
            <w:r>
              <w:rPr>
                <w:b/>
                <w:sz w:val="15"/>
              </w:rPr>
              <w:t>Brier</w:t>
            </w:r>
          </w:p>
        </w:tc>
        <w:tc>
          <w:tcPr>
            <w:tcW w:type="dxa" w:w="1191"/>
            <w:shd w:fill="D9EAF7"/>
            <w:vAlign w:val="center"/>
          </w:tcPr>
          <w:p>
            <w:pPr>
              <w:jc w:val="center"/>
            </w:pPr>
            <w:r>
              <w:rPr>
                <w:b/>
                <w:sz w:val="15"/>
              </w:rPr>
              <w:t>Brier Skill</w:t>
            </w:r>
          </w:p>
        </w:tc>
        <w:tc>
          <w:tcPr>
            <w:tcW w:type="dxa" w:w="1134"/>
            <w:shd w:fill="D9EAF7"/>
            <w:vAlign w:val="center"/>
          </w:tcPr>
          <w:p>
            <w:pPr>
              <w:jc w:val="center"/>
            </w:pPr>
            <w:r>
              <w:rPr>
                <w:b/>
                <w:sz w:val="15"/>
              </w:rPr>
              <w:t>Cal. slope</w:t>
            </w:r>
          </w:p>
        </w:tc>
        <w:tc>
          <w:tcPr>
            <w:tcW w:type="dxa" w:w="1191"/>
            <w:shd w:fill="D9EAF7"/>
            <w:vAlign w:val="center"/>
          </w:tcPr>
          <w:p>
            <w:pPr>
              <w:jc w:val="center"/>
            </w:pPr>
            <w:r>
              <w:rPr>
                <w:b/>
                <w:sz w:val="15"/>
              </w:rPr>
              <w:t>Cal. intercept</w:t>
            </w:r>
          </w:p>
        </w:tc>
      </w:tr>
      <w:tr>
        <w:trPr>
          <w:cantSplit w:val="true"/>
        </w:trPr>
        <w:tc>
          <w:tcPr>
            <w:tcW w:type="dxa" w:w="907"/>
            <w:vAlign w:val="top"/>
          </w:tcPr>
          <w:p>
            <w:pPr>
              <w:spacing w:after="0" w:before="0"/>
            </w:pPr>
            <w:r>
              <w:rPr>
                <w:sz w:val="15"/>
              </w:rPr>
              <w:t>24 h</w:t>
            </w:r>
          </w:p>
        </w:tc>
        <w:tc>
          <w:tcPr>
            <w:tcW w:type="dxa" w:w="1134"/>
            <w:vAlign w:val="top"/>
          </w:tcPr>
          <w:p>
            <w:pPr>
              <w:spacing w:after="0" w:before="0"/>
            </w:pPr>
            <w:r>
              <w:rPr>
                <w:sz w:val="15"/>
              </w:rPr>
              <w:t>6.986</w:t>
            </w:r>
          </w:p>
        </w:tc>
        <w:tc>
          <w:tcPr>
            <w:tcW w:type="dxa" w:w="1020"/>
            <w:vAlign w:val="top"/>
          </w:tcPr>
          <w:p>
            <w:pPr>
              <w:spacing w:after="0" w:before="0"/>
            </w:pPr>
            <w:r>
              <w:rPr>
                <w:sz w:val="15"/>
              </w:rPr>
              <w:t>304</w:t>
            </w:r>
          </w:p>
        </w:tc>
        <w:tc>
          <w:tcPr>
            <w:tcW w:type="dxa" w:w="1191"/>
            <w:vAlign w:val="top"/>
          </w:tcPr>
          <w:p>
            <w:pPr>
              <w:spacing w:after="0" w:before="0"/>
            </w:pPr>
            <w:r>
              <w:rPr>
                <w:sz w:val="15"/>
              </w:rPr>
              <w:t>4,35%</w:t>
            </w:r>
          </w:p>
        </w:tc>
        <w:tc>
          <w:tcPr>
            <w:tcW w:type="dxa" w:w="850"/>
            <w:vAlign w:val="top"/>
          </w:tcPr>
          <w:p>
            <w:pPr>
              <w:spacing w:after="0" w:before="0"/>
            </w:pPr>
            <w:r>
              <w:rPr>
                <w:sz w:val="15"/>
              </w:rPr>
              <w:t>0,409</w:t>
            </w:r>
          </w:p>
        </w:tc>
        <w:tc>
          <w:tcPr>
            <w:tcW w:type="dxa" w:w="1020"/>
            <w:vAlign w:val="top"/>
          </w:tcPr>
          <w:p>
            <w:pPr>
              <w:spacing w:after="0" w:before="0"/>
            </w:pPr>
            <w:r>
              <w:rPr>
                <w:sz w:val="15"/>
              </w:rPr>
              <w:t>0,875</w:t>
            </w:r>
          </w:p>
        </w:tc>
        <w:tc>
          <w:tcPr>
            <w:tcW w:type="dxa" w:w="1020"/>
            <w:vAlign w:val="top"/>
          </w:tcPr>
          <w:p>
            <w:pPr>
              <w:spacing w:after="0" w:before="0"/>
            </w:pPr>
            <w:r>
              <w:rPr>
                <w:sz w:val="15"/>
              </w:rPr>
              <w:t>0,0320</w:t>
            </w:r>
          </w:p>
        </w:tc>
        <w:tc>
          <w:tcPr>
            <w:tcW w:type="dxa" w:w="1191"/>
            <w:vAlign w:val="top"/>
          </w:tcPr>
          <w:p>
            <w:pPr>
              <w:spacing w:after="0" w:before="0"/>
            </w:pPr>
            <w:r>
              <w:rPr>
                <w:sz w:val="15"/>
              </w:rPr>
              <w:t>+0,232</w:t>
            </w:r>
          </w:p>
        </w:tc>
        <w:tc>
          <w:tcPr>
            <w:tcW w:type="dxa" w:w="1134"/>
            <w:vAlign w:val="top"/>
          </w:tcPr>
          <w:p>
            <w:pPr>
              <w:spacing w:after="0" w:before="0"/>
            </w:pPr>
            <w:r>
              <w:rPr>
                <w:sz w:val="15"/>
              </w:rPr>
              <w:t>0,928</w:t>
            </w:r>
          </w:p>
        </w:tc>
        <w:tc>
          <w:tcPr>
            <w:tcW w:type="dxa" w:w="1191"/>
            <w:vAlign w:val="top"/>
          </w:tcPr>
          <w:p>
            <w:pPr>
              <w:spacing w:after="0" w:before="0"/>
            </w:pPr>
            <w:r>
              <w:rPr>
                <w:sz w:val="15"/>
              </w:rPr>
              <w:t>+0,135</w:t>
            </w:r>
          </w:p>
        </w:tc>
      </w:tr>
      <w:tr>
        <w:trPr>
          <w:cantSplit w:val="true"/>
        </w:trPr>
        <w:tc>
          <w:tcPr>
            <w:tcW w:type="dxa" w:w="907"/>
            <w:vAlign w:val="top"/>
          </w:tcPr>
          <w:p>
            <w:pPr>
              <w:spacing w:after="0" w:before="0"/>
            </w:pPr>
            <w:r>
              <w:rPr>
                <w:sz w:val="15"/>
              </w:rPr>
              <w:t>48 h</w:t>
            </w:r>
          </w:p>
        </w:tc>
        <w:tc>
          <w:tcPr>
            <w:tcW w:type="dxa" w:w="1134"/>
            <w:vAlign w:val="top"/>
          </w:tcPr>
          <w:p>
            <w:pPr>
              <w:spacing w:after="0" w:before="0"/>
            </w:pPr>
            <w:r>
              <w:rPr>
                <w:sz w:val="15"/>
              </w:rPr>
              <w:t>6.928</w:t>
            </w:r>
          </w:p>
        </w:tc>
        <w:tc>
          <w:tcPr>
            <w:tcW w:type="dxa" w:w="1020"/>
            <w:vAlign w:val="top"/>
          </w:tcPr>
          <w:p>
            <w:pPr>
              <w:spacing w:after="0" w:before="0"/>
            </w:pPr>
            <w:r>
              <w:rPr>
                <w:sz w:val="15"/>
              </w:rPr>
              <w:t>399</w:t>
            </w:r>
          </w:p>
        </w:tc>
        <w:tc>
          <w:tcPr>
            <w:tcW w:type="dxa" w:w="1191"/>
            <w:vAlign w:val="top"/>
          </w:tcPr>
          <w:p>
            <w:pPr>
              <w:spacing w:after="0" w:before="0"/>
            </w:pPr>
            <w:r>
              <w:rPr>
                <w:sz w:val="15"/>
              </w:rPr>
              <w:t>5,76%</w:t>
            </w:r>
          </w:p>
        </w:tc>
        <w:tc>
          <w:tcPr>
            <w:tcW w:type="dxa" w:w="850"/>
            <w:vAlign w:val="top"/>
          </w:tcPr>
          <w:p>
            <w:pPr>
              <w:spacing w:after="0" w:before="0"/>
            </w:pPr>
            <w:r>
              <w:rPr>
                <w:sz w:val="15"/>
              </w:rPr>
              <w:t>0,336</w:t>
            </w:r>
          </w:p>
        </w:tc>
        <w:tc>
          <w:tcPr>
            <w:tcW w:type="dxa" w:w="1020"/>
            <w:vAlign w:val="top"/>
          </w:tcPr>
          <w:p>
            <w:pPr>
              <w:spacing w:after="0" w:before="0"/>
            </w:pPr>
            <w:r>
              <w:rPr>
                <w:sz w:val="15"/>
              </w:rPr>
              <w:t>0,836</w:t>
            </w:r>
          </w:p>
        </w:tc>
        <w:tc>
          <w:tcPr>
            <w:tcW w:type="dxa" w:w="1020"/>
            <w:vAlign w:val="top"/>
          </w:tcPr>
          <w:p>
            <w:pPr>
              <w:spacing w:after="0" w:before="0"/>
            </w:pPr>
            <w:r>
              <w:rPr>
                <w:sz w:val="15"/>
              </w:rPr>
              <w:t>0,0450</w:t>
            </w:r>
          </w:p>
        </w:tc>
        <w:tc>
          <w:tcPr>
            <w:tcW w:type="dxa" w:w="1191"/>
            <w:vAlign w:val="top"/>
          </w:tcPr>
          <w:p>
            <w:pPr>
              <w:spacing w:after="0" w:before="0"/>
            </w:pPr>
            <w:r>
              <w:rPr>
                <w:sz w:val="15"/>
              </w:rPr>
              <w:t>+0,173</w:t>
            </w:r>
          </w:p>
        </w:tc>
        <w:tc>
          <w:tcPr>
            <w:tcW w:type="dxa" w:w="1134"/>
            <w:vAlign w:val="top"/>
          </w:tcPr>
          <w:p>
            <w:pPr>
              <w:spacing w:after="0" w:before="0"/>
            </w:pPr>
            <w:r>
              <w:rPr>
                <w:sz w:val="15"/>
              </w:rPr>
              <w:t>0,848</w:t>
            </w:r>
          </w:p>
        </w:tc>
        <w:tc>
          <w:tcPr>
            <w:tcW w:type="dxa" w:w="1191"/>
            <w:vAlign w:val="top"/>
          </w:tcPr>
          <w:p>
            <w:pPr>
              <w:spacing w:after="0" w:before="0"/>
            </w:pPr>
            <w:r>
              <w:rPr>
                <w:sz w:val="15"/>
              </w:rPr>
              <w:t>−0,189</w:t>
            </w:r>
          </w:p>
        </w:tc>
      </w:tr>
      <w:tr>
        <w:trPr>
          <w:cantSplit w:val="true"/>
        </w:trPr>
        <w:tc>
          <w:tcPr>
            <w:tcW w:type="dxa" w:w="907"/>
            <w:vAlign w:val="top"/>
          </w:tcPr>
          <w:p>
            <w:pPr>
              <w:spacing w:after="0" w:before="0"/>
            </w:pPr>
            <w:r>
              <w:rPr>
                <w:sz w:val="15"/>
              </w:rPr>
              <w:t>72 h</w:t>
            </w:r>
          </w:p>
        </w:tc>
        <w:tc>
          <w:tcPr>
            <w:tcW w:type="dxa" w:w="1134"/>
            <w:vAlign w:val="top"/>
          </w:tcPr>
          <w:p>
            <w:pPr>
              <w:spacing w:after="0" w:before="0"/>
            </w:pPr>
            <w:r>
              <w:rPr>
                <w:sz w:val="15"/>
              </w:rPr>
              <w:t>6.870</w:t>
            </w:r>
          </w:p>
        </w:tc>
        <w:tc>
          <w:tcPr>
            <w:tcW w:type="dxa" w:w="1020"/>
            <w:vAlign w:val="top"/>
          </w:tcPr>
          <w:p>
            <w:pPr>
              <w:spacing w:after="0" w:before="0"/>
            </w:pPr>
            <w:r>
              <w:rPr>
                <w:sz w:val="15"/>
              </w:rPr>
              <w:t>489</w:t>
            </w:r>
          </w:p>
        </w:tc>
        <w:tc>
          <w:tcPr>
            <w:tcW w:type="dxa" w:w="1191"/>
            <w:vAlign w:val="top"/>
          </w:tcPr>
          <w:p>
            <w:pPr>
              <w:spacing w:after="0" w:before="0"/>
            </w:pPr>
            <w:r>
              <w:rPr>
                <w:sz w:val="15"/>
              </w:rPr>
              <w:t>7,12%</w:t>
            </w:r>
          </w:p>
        </w:tc>
        <w:tc>
          <w:tcPr>
            <w:tcW w:type="dxa" w:w="850"/>
            <w:vAlign w:val="top"/>
          </w:tcPr>
          <w:p>
            <w:pPr>
              <w:spacing w:after="0" w:before="0"/>
            </w:pPr>
            <w:r>
              <w:rPr>
                <w:sz w:val="15"/>
              </w:rPr>
              <w:t>0,291</w:t>
            </w:r>
          </w:p>
        </w:tc>
        <w:tc>
          <w:tcPr>
            <w:tcW w:type="dxa" w:w="1020"/>
            <w:vAlign w:val="top"/>
          </w:tcPr>
          <w:p>
            <w:pPr>
              <w:spacing w:after="0" w:before="0"/>
            </w:pPr>
            <w:r>
              <w:rPr>
                <w:sz w:val="15"/>
              </w:rPr>
              <w:t>0,810</w:t>
            </w:r>
          </w:p>
        </w:tc>
        <w:tc>
          <w:tcPr>
            <w:tcW w:type="dxa" w:w="1020"/>
            <w:vAlign w:val="top"/>
          </w:tcPr>
          <w:p>
            <w:pPr>
              <w:spacing w:after="0" w:before="0"/>
            </w:pPr>
            <w:r>
              <w:rPr>
                <w:sz w:val="15"/>
              </w:rPr>
              <w:t>0,0588</w:t>
            </w:r>
          </w:p>
        </w:tc>
        <w:tc>
          <w:tcPr>
            <w:tcW w:type="dxa" w:w="1191"/>
            <w:vAlign w:val="top"/>
          </w:tcPr>
          <w:p>
            <w:pPr>
              <w:spacing w:after="0" w:before="0"/>
            </w:pPr>
            <w:r>
              <w:rPr>
                <w:sz w:val="15"/>
              </w:rPr>
              <w:t>+0,114</w:t>
            </w:r>
          </w:p>
        </w:tc>
        <w:tc>
          <w:tcPr>
            <w:tcW w:type="dxa" w:w="1134"/>
            <w:vAlign w:val="top"/>
          </w:tcPr>
          <w:p>
            <w:pPr>
              <w:spacing w:after="0" w:before="0"/>
            </w:pPr>
            <w:r>
              <w:rPr>
                <w:sz w:val="15"/>
              </w:rPr>
              <w:t>0,758</w:t>
            </w:r>
          </w:p>
        </w:tc>
        <w:tc>
          <w:tcPr>
            <w:tcW w:type="dxa" w:w="1191"/>
            <w:vAlign w:val="top"/>
          </w:tcPr>
          <w:p>
            <w:pPr>
              <w:spacing w:after="0" w:before="0"/>
            </w:pPr>
            <w:r>
              <w:rPr>
                <w:sz w:val="15"/>
              </w:rPr>
              <w:t>−0,504</w:t>
            </w:r>
          </w:p>
        </w:tc>
      </w:tr>
    </w:tbl>
    <w:p/>
    <w:p>
      <w:r>
        <w:t>Il modello mantiene skill probabilistico a tutti e tre gli orizzonti. Il decadimento 24→48→72 ore è fisicamente e statisticamente atteso. Il Brier Skill Score resta positivo anche a 72 ore, quindi le probabilità fanno meglio della climatologia del FIT sul periodo indipendente.</w:t>
      </w:r>
    </w:p>
    <w:tbl>
      <w:tblPr>
        <w:tblStyle w:val="TableGrid"/>
        <w:tblW w:type="auto" w:w="0"/>
        <w:jc w:val="center"/>
        <w:tblLook w:firstColumn="1" w:firstRow="1" w:lastColumn="0" w:lastRow="0" w:noHBand="0" w:noVBand="1" w:val="04A0"/>
      </w:tblPr>
      <w:tblGrid>
        <w:gridCol w:w="1408"/>
        <w:gridCol w:w="1408"/>
        <w:gridCol w:w="1408"/>
        <w:gridCol w:w="1408"/>
        <w:gridCol w:w="1408"/>
        <w:gridCol w:w="1408"/>
        <w:gridCol w:w="1408"/>
      </w:tblGrid>
      <w:tr>
        <w:trPr>
          <w:tblHeader w:val="true"/>
          <w:cantSplit w:val="true"/>
        </w:trPr>
        <w:tc>
          <w:tcPr>
            <w:tcW w:type="dxa" w:w="1134"/>
            <w:shd w:fill="D9EAF7"/>
            <w:vAlign w:val="center"/>
          </w:tcPr>
          <w:p>
            <w:pPr>
              <w:jc w:val="center"/>
            </w:pPr>
            <w:r>
              <w:rPr>
                <w:b/>
                <w:sz w:val="16"/>
              </w:rPr>
              <w:t>Orizzonte</w:t>
            </w:r>
          </w:p>
        </w:tc>
        <w:tc>
          <w:tcPr>
            <w:tcW w:type="dxa" w:w="1984"/>
            <w:shd w:fill="D9EAF7"/>
            <w:vAlign w:val="center"/>
          </w:tcPr>
          <w:p>
            <w:pPr>
              <w:jc w:val="center"/>
            </w:pPr>
            <w:r>
              <w:rPr>
                <w:b/>
                <w:sz w:val="16"/>
              </w:rPr>
              <w:t>Policy soglia</w:t>
            </w:r>
          </w:p>
        </w:tc>
        <w:tc>
          <w:tcPr>
            <w:tcW w:type="dxa" w:w="1134"/>
            <w:shd w:fill="D9EAF7"/>
            <w:vAlign w:val="center"/>
          </w:tcPr>
          <w:p>
            <w:pPr>
              <w:jc w:val="center"/>
            </w:pPr>
            <w:r>
              <w:rPr>
                <w:b/>
                <w:sz w:val="16"/>
              </w:rPr>
              <w:t>Soglia</w:t>
            </w:r>
          </w:p>
        </w:tc>
        <w:tc>
          <w:tcPr>
            <w:tcW w:type="dxa" w:w="1304"/>
            <w:shd w:fill="D9EAF7"/>
            <w:vAlign w:val="center"/>
          </w:tcPr>
          <w:p>
            <w:pPr>
              <w:jc w:val="center"/>
            </w:pPr>
            <w:r>
              <w:rPr>
                <w:b/>
                <w:sz w:val="16"/>
              </w:rPr>
              <w:t>Precision</w:t>
            </w:r>
          </w:p>
        </w:tc>
        <w:tc>
          <w:tcPr>
            <w:tcW w:type="dxa" w:w="1304"/>
            <w:shd w:fill="D9EAF7"/>
            <w:vAlign w:val="center"/>
          </w:tcPr>
          <w:p>
            <w:pPr>
              <w:jc w:val="center"/>
            </w:pPr>
            <w:r>
              <w:rPr>
                <w:b/>
                <w:sz w:val="16"/>
              </w:rPr>
              <w:t>Recall</w:t>
            </w:r>
          </w:p>
        </w:tc>
        <w:tc>
          <w:tcPr>
            <w:tcW w:type="dxa" w:w="1134"/>
            <w:shd w:fill="D9EAF7"/>
            <w:vAlign w:val="center"/>
          </w:tcPr>
          <w:p>
            <w:pPr>
              <w:jc w:val="center"/>
            </w:pPr>
            <w:r>
              <w:rPr>
                <w:b/>
                <w:sz w:val="16"/>
              </w:rPr>
              <w:t>CSI</w:t>
            </w:r>
          </w:p>
        </w:tc>
        <w:tc>
          <w:tcPr>
            <w:tcW w:type="dxa" w:w="1134"/>
            <w:shd w:fill="D9EAF7"/>
            <w:vAlign w:val="center"/>
          </w:tcPr>
          <w:p>
            <w:pPr>
              <w:jc w:val="center"/>
            </w:pPr>
            <w:r>
              <w:rPr>
                <w:b/>
                <w:sz w:val="16"/>
              </w:rPr>
              <w:t>F1</w:t>
            </w:r>
          </w:p>
        </w:tc>
      </w:tr>
      <w:tr>
        <w:trPr>
          <w:cantSplit w:val="true"/>
        </w:trPr>
        <w:tc>
          <w:tcPr>
            <w:tcW w:type="dxa" w:w="1134"/>
            <w:vAlign w:val="top"/>
          </w:tcPr>
          <w:p>
            <w:pPr>
              <w:spacing w:after="0" w:before="0"/>
            </w:pPr>
            <w:r>
              <w:rPr>
                <w:sz w:val="16"/>
              </w:rPr>
              <w:t>24 h</w:t>
            </w:r>
          </w:p>
        </w:tc>
        <w:tc>
          <w:tcPr>
            <w:tcW w:type="dxa" w:w="1984"/>
            <w:vAlign w:val="top"/>
          </w:tcPr>
          <w:p>
            <w:pPr>
              <w:spacing w:after="0" w:before="0"/>
            </w:pPr>
            <w:r>
              <w:rPr>
                <w:sz w:val="16"/>
              </w:rPr>
              <w:t>MAX_CSI</w:t>
            </w:r>
          </w:p>
        </w:tc>
        <w:tc>
          <w:tcPr>
            <w:tcW w:type="dxa" w:w="1134"/>
            <w:vAlign w:val="top"/>
          </w:tcPr>
          <w:p>
            <w:pPr>
              <w:spacing w:after="0" w:before="0"/>
            </w:pPr>
            <w:r>
              <w:rPr>
                <w:sz w:val="16"/>
              </w:rPr>
              <w:t>0,321</w:t>
            </w:r>
          </w:p>
        </w:tc>
        <w:tc>
          <w:tcPr>
            <w:tcW w:type="dxa" w:w="1304"/>
            <w:vAlign w:val="top"/>
          </w:tcPr>
          <w:p>
            <w:pPr>
              <w:spacing w:after="0" w:before="0"/>
            </w:pPr>
            <w:r>
              <w:rPr>
                <w:sz w:val="16"/>
              </w:rPr>
              <w:t>0,585</w:t>
            </w:r>
          </w:p>
        </w:tc>
        <w:tc>
          <w:tcPr>
            <w:tcW w:type="dxa" w:w="1304"/>
            <w:vAlign w:val="top"/>
          </w:tcPr>
          <w:p>
            <w:pPr>
              <w:spacing w:after="0" w:before="0"/>
            </w:pPr>
            <w:r>
              <w:rPr>
                <w:sz w:val="16"/>
              </w:rPr>
              <w:t>0,316</w:t>
            </w:r>
          </w:p>
        </w:tc>
        <w:tc>
          <w:tcPr>
            <w:tcW w:type="dxa" w:w="1134"/>
            <w:vAlign w:val="top"/>
          </w:tcPr>
          <w:p>
            <w:pPr>
              <w:spacing w:after="0" w:before="0"/>
            </w:pPr>
            <w:r>
              <w:rPr>
                <w:sz w:val="16"/>
              </w:rPr>
              <w:t>0,258</w:t>
            </w:r>
          </w:p>
        </w:tc>
        <w:tc>
          <w:tcPr>
            <w:tcW w:type="dxa" w:w="1134"/>
            <w:vAlign w:val="top"/>
          </w:tcPr>
          <w:p>
            <w:pPr>
              <w:spacing w:after="0" w:before="0"/>
            </w:pPr>
            <w:r>
              <w:rPr>
                <w:sz w:val="16"/>
              </w:rPr>
              <w:t>0,410</w:t>
            </w:r>
          </w:p>
        </w:tc>
      </w:tr>
      <w:tr>
        <w:trPr>
          <w:cantSplit w:val="true"/>
        </w:trPr>
        <w:tc>
          <w:tcPr>
            <w:tcW w:type="dxa" w:w="1134"/>
            <w:vAlign w:val="top"/>
          </w:tcPr>
          <w:p>
            <w:pPr>
              <w:spacing w:after="0" w:before="0"/>
            </w:pPr>
            <w:r>
              <w:rPr>
                <w:sz w:val="16"/>
              </w:rPr>
              <w:t>24 h</w:t>
            </w:r>
          </w:p>
        </w:tc>
        <w:tc>
          <w:tcPr>
            <w:tcW w:type="dxa" w:w="1984"/>
            <w:vAlign w:val="top"/>
          </w:tcPr>
          <w:p>
            <w:pPr>
              <w:spacing w:after="0" w:before="0"/>
            </w:pPr>
            <w:r>
              <w:rPr>
                <w:sz w:val="16"/>
              </w:rPr>
              <w:t>Recall80</w:t>
            </w:r>
          </w:p>
        </w:tc>
        <w:tc>
          <w:tcPr>
            <w:tcW w:type="dxa" w:w="1134"/>
            <w:vAlign w:val="top"/>
          </w:tcPr>
          <w:p>
            <w:pPr>
              <w:spacing w:after="0" w:before="0"/>
            </w:pPr>
            <w:r>
              <w:rPr>
                <w:sz w:val="16"/>
              </w:rPr>
              <w:t>0,132</w:t>
            </w:r>
          </w:p>
        </w:tc>
        <w:tc>
          <w:tcPr>
            <w:tcW w:type="dxa" w:w="1304"/>
            <w:vAlign w:val="top"/>
          </w:tcPr>
          <w:p>
            <w:pPr>
              <w:spacing w:after="0" w:before="0"/>
            </w:pPr>
            <w:r>
              <w:rPr>
                <w:sz w:val="16"/>
              </w:rPr>
              <w:t>0,371</w:t>
            </w:r>
          </w:p>
        </w:tc>
        <w:tc>
          <w:tcPr>
            <w:tcW w:type="dxa" w:w="1304"/>
            <w:vAlign w:val="top"/>
          </w:tcPr>
          <w:p>
            <w:pPr>
              <w:spacing w:after="0" w:before="0"/>
            </w:pPr>
            <w:r>
              <w:rPr>
                <w:sz w:val="16"/>
              </w:rPr>
              <w:t>0,536</w:t>
            </w:r>
          </w:p>
        </w:tc>
        <w:tc>
          <w:tcPr>
            <w:tcW w:type="dxa" w:w="1134"/>
            <w:vAlign w:val="top"/>
          </w:tcPr>
          <w:p>
            <w:pPr>
              <w:spacing w:after="0" w:before="0"/>
            </w:pPr>
            <w:r>
              <w:rPr>
                <w:sz w:val="16"/>
              </w:rPr>
              <w:t>0,281</w:t>
            </w:r>
          </w:p>
        </w:tc>
        <w:tc>
          <w:tcPr>
            <w:tcW w:type="dxa" w:w="1134"/>
            <w:vAlign w:val="top"/>
          </w:tcPr>
          <w:p>
            <w:pPr>
              <w:spacing w:after="0" w:before="0"/>
            </w:pPr>
            <w:r>
              <w:rPr>
                <w:sz w:val="16"/>
              </w:rPr>
              <w:t>0,439</w:t>
            </w:r>
          </w:p>
        </w:tc>
      </w:tr>
      <w:tr>
        <w:trPr>
          <w:cantSplit w:val="true"/>
        </w:trPr>
        <w:tc>
          <w:tcPr>
            <w:tcW w:type="dxa" w:w="1134"/>
            <w:vAlign w:val="top"/>
          </w:tcPr>
          <w:p>
            <w:pPr>
              <w:spacing w:after="0" w:before="0"/>
            </w:pPr>
            <w:r>
              <w:rPr>
                <w:sz w:val="16"/>
              </w:rPr>
              <w:t>48 h</w:t>
            </w:r>
          </w:p>
        </w:tc>
        <w:tc>
          <w:tcPr>
            <w:tcW w:type="dxa" w:w="1984"/>
            <w:vAlign w:val="top"/>
          </w:tcPr>
          <w:p>
            <w:pPr>
              <w:spacing w:after="0" w:before="0"/>
            </w:pPr>
            <w:r>
              <w:rPr>
                <w:sz w:val="16"/>
              </w:rPr>
              <w:t>MAX_CSI</w:t>
            </w:r>
          </w:p>
        </w:tc>
        <w:tc>
          <w:tcPr>
            <w:tcW w:type="dxa" w:w="1134"/>
            <w:vAlign w:val="top"/>
          </w:tcPr>
          <w:p>
            <w:pPr>
              <w:spacing w:after="0" w:before="0"/>
            </w:pPr>
            <w:r>
              <w:rPr>
                <w:sz w:val="16"/>
              </w:rPr>
              <w:t>0,355</w:t>
            </w:r>
          </w:p>
        </w:tc>
        <w:tc>
          <w:tcPr>
            <w:tcW w:type="dxa" w:w="1304"/>
            <w:vAlign w:val="top"/>
          </w:tcPr>
          <w:p>
            <w:pPr>
              <w:spacing w:after="0" w:before="0"/>
            </w:pPr>
            <w:r>
              <w:rPr>
                <w:sz w:val="16"/>
              </w:rPr>
              <w:t>0,534</w:t>
            </w:r>
          </w:p>
        </w:tc>
        <w:tc>
          <w:tcPr>
            <w:tcW w:type="dxa" w:w="1304"/>
            <w:vAlign w:val="top"/>
          </w:tcPr>
          <w:p>
            <w:pPr>
              <w:spacing w:after="0" w:before="0"/>
            </w:pPr>
            <w:r>
              <w:rPr>
                <w:sz w:val="16"/>
              </w:rPr>
              <w:t>0,253</w:t>
            </w:r>
          </w:p>
        </w:tc>
        <w:tc>
          <w:tcPr>
            <w:tcW w:type="dxa" w:w="1134"/>
            <w:vAlign w:val="top"/>
          </w:tcPr>
          <w:p>
            <w:pPr>
              <w:spacing w:after="0" w:before="0"/>
            </w:pPr>
            <w:r>
              <w:rPr>
                <w:sz w:val="16"/>
              </w:rPr>
              <w:t>0,207</w:t>
            </w:r>
          </w:p>
        </w:tc>
        <w:tc>
          <w:tcPr>
            <w:tcW w:type="dxa" w:w="1134"/>
            <w:vAlign w:val="top"/>
          </w:tcPr>
          <w:p>
            <w:pPr>
              <w:spacing w:after="0" w:before="0"/>
            </w:pPr>
            <w:r>
              <w:rPr>
                <w:sz w:val="16"/>
              </w:rPr>
              <w:t>0,344</w:t>
            </w:r>
          </w:p>
        </w:tc>
      </w:tr>
      <w:tr>
        <w:trPr>
          <w:cantSplit w:val="true"/>
        </w:trPr>
        <w:tc>
          <w:tcPr>
            <w:tcW w:type="dxa" w:w="1134"/>
            <w:vAlign w:val="top"/>
          </w:tcPr>
          <w:p>
            <w:pPr>
              <w:spacing w:after="0" w:before="0"/>
            </w:pPr>
            <w:r>
              <w:rPr>
                <w:sz w:val="16"/>
              </w:rPr>
              <w:t>48 h</w:t>
            </w:r>
          </w:p>
        </w:tc>
        <w:tc>
          <w:tcPr>
            <w:tcW w:type="dxa" w:w="1984"/>
            <w:vAlign w:val="top"/>
          </w:tcPr>
          <w:p>
            <w:pPr>
              <w:spacing w:after="0" w:before="0"/>
            </w:pPr>
            <w:r>
              <w:rPr>
                <w:sz w:val="16"/>
              </w:rPr>
              <w:t>Recall80</w:t>
            </w:r>
          </w:p>
        </w:tc>
        <w:tc>
          <w:tcPr>
            <w:tcW w:type="dxa" w:w="1134"/>
            <w:vAlign w:val="top"/>
          </w:tcPr>
          <w:p>
            <w:pPr>
              <w:spacing w:after="0" w:before="0"/>
            </w:pPr>
            <w:r>
              <w:rPr>
                <w:sz w:val="16"/>
              </w:rPr>
              <w:t>0,095</w:t>
            </w:r>
          </w:p>
        </w:tc>
        <w:tc>
          <w:tcPr>
            <w:tcW w:type="dxa" w:w="1304"/>
            <w:vAlign w:val="top"/>
          </w:tcPr>
          <w:p>
            <w:pPr>
              <w:spacing w:after="0" w:before="0"/>
            </w:pPr>
            <w:r>
              <w:rPr>
                <w:sz w:val="16"/>
              </w:rPr>
              <w:t>0,238</w:t>
            </w:r>
          </w:p>
        </w:tc>
        <w:tc>
          <w:tcPr>
            <w:tcW w:type="dxa" w:w="1304"/>
            <w:vAlign w:val="top"/>
          </w:tcPr>
          <w:p>
            <w:pPr>
              <w:spacing w:after="0" w:before="0"/>
            </w:pPr>
            <w:r>
              <w:rPr>
                <w:sz w:val="16"/>
              </w:rPr>
              <w:t>0,586</w:t>
            </w:r>
          </w:p>
        </w:tc>
        <w:tc>
          <w:tcPr>
            <w:tcW w:type="dxa" w:w="1134"/>
            <w:vAlign w:val="top"/>
          </w:tcPr>
          <w:p>
            <w:pPr>
              <w:spacing w:after="0" w:before="0"/>
            </w:pPr>
            <w:r>
              <w:rPr>
                <w:sz w:val="16"/>
              </w:rPr>
              <w:t>0,204</w:t>
            </w:r>
          </w:p>
        </w:tc>
        <w:tc>
          <w:tcPr>
            <w:tcW w:type="dxa" w:w="1134"/>
            <w:vAlign w:val="top"/>
          </w:tcPr>
          <w:p>
            <w:pPr>
              <w:spacing w:after="0" w:before="0"/>
            </w:pPr>
            <w:r>
              <w:rPr>
                <w:sz w:val="16"/>
              </w:rPr>
              <w:t>0,339</w:t>
            </w:r>
          </w:p>
        </w:tc>
      </w:tr>
      <w:tr>
        <w:trPr>
          <w:cantSplit w:val="true"/>
        </w:trPr>
        <w:tc>
          <w:tcPr>
            <w:tcW w:type="dxa" w:w="1134"/>
            <w:vAlign w:val="top"/>
          </w:tcPr>
          <w:p>
            <w:pPr>
              <w:spacing w:after="0" w:before="0"/>
            </w:pPr>
            <w:r>
              <w:rPr>
                <w:sz w:val="16"/>
              </w:rPr>
              <w:t>72 h</w:t>
            </w:r>
          </w:p>
        </w:tc>
        <w:tc>
          <w:tcPr>
            <w:tcW w:type="dxa" w:w="1984"/>
            <w:vAlign w:val="top"/>
          </w:tcPr>
          <w:p>
            <w:pPr>
              <w:spacing w:after="0" w:before="0"/>
            </w:pPr>
            <w:r>
              <w:rPr>
                <w:sz w:val="16"/>
              </w:rPr>
              <w:t>MAX_CSI</w:t>
            </w:r>
          </w:p>
        </w:tc>
        <w:tc>
          <w:tcPr>
            <w:tcW w:type="dxa" w:w="1134"/>
            <w:vAlign w:val="top"/>
          </w:tcPr>
          <w:p>
            <w:pPr>
              <w:spacing w:after="0" w:before="0"/>
            </w:pPr>
            <w:r>
              <w:rPr>
                <w:sz w:val="16"/>
              </w:rPr>
              <w:t>0,340</w:t>
            </w:r>
          </w:p>
        </w:tc>
        <w:tc>
          <w:tcPr>
            <w:tcW w:type="dxa" w:w="1304"/>
            <w:vAlign w:val="top"/>
          </w:tcPr>
          <w:p>
            <w:pPr>
              <w:spacing w:after="0" w:before="0"/>
            </w:pPr>
            <w:r>
              <w:rPr>
                <w:sz w:val="16"/>
              </w:rPr>
              <w:t>0,369</w:t>
            </w:r>
          </w:p>
        </w:tc>
        <w:tc>
          <w:tcPr>
            <w:tcW w:type="dxa" w:w="1304"/>
            <w:vAlign w:val="top"/>
          </w:tcPr>
          <w:p>
            <w:pPr>
              <w:spacing w:after="0" w:before="0"/>
            </w:pPr>
            <w:r>
              <w:rPr>
                <w:sz w:val="16"/>
              </w:rPr>
              <w:t>0,290</w:t>
            </w:r>
          </w:p>
        </w:tc>
        <w:tc>
          <w:tcPr>
            <w:tcW w:type="dxa" w:w="1134"/>
            <w:vAlign w:val="top"/>
          </w:tcPr>
          <w:p>
            <w:pPr>
              <w:spacing w:after="0" w:before="0"/>
            </w:pPr>
            <w:r>
              <w:rPr>
                <w:sz w:val="16"/>
              </w:rPr>
              <w:t>0,194</w:t>
            </w:r>
          </w:p>
        </w:tc>
        <w:tc>
          <w:tcPr>
            <w:tcW w:type="dxa" w:w="1134"/>
            <w:vAlign w:val="top"/>
          </w:tcPr>
          <w:p>
            <w:pPr>
              <w:spacing w:after="0" w:before="0"/>
            </w:pPr>
            <w:r>
              <w:rPr>
                <w:sz w:val="16"/>
              </w:rPr>
              <w:t>0,325</w:t>
            </w:r>
          </w:p>
        </w:tc>
      </w:tr>
      <w:tr>
        <w:trPr>
          <w:cantSplit w:val="true"/>
        </w:trPr>
        <w:tc>
          <w:tcPr>
            <w:tcW w:type="dxa" w:w="1134"/>
            <w:vAlign w:val="top"/>
          </w:tcPr>
          <w:p>
            <w:pPr>
              <w:spacing w:after="0" w:before="0"/>
            </w:pPr>
            <w:r>
              <w:rPr>
                <w:sz w:val="16"/>
              </w:rPr>
              <w:t>72 h</w:t>
            </w:r>
          </w:p>
        </w:tc>
        <w:tc>
          <w:tcPr>
            <w:tcW w:type="dxa" w:w="1984"/>
            <w:vAlign w:val="top"/>
          </w:tcPr>
          <w:p>
            <w:pPr>
              <w:spacing w:after="0" w:before="0"/>
            </w:pPr>
            <w:r>
              <w:rPr>
                <w:sz w:val="16"/>
              </w:rPr>
              <w:t>Recall80</w:t>
            </w:r>
          </w:p>
        </w:tc>
        <w:tc>
          <w:tcPr>
            <w:tcW w:type="dxa" w:w="1134"/>
            <w:vAlign w:val="top"/>
          </w:tcPr>
          <w:p>
            <w:pPr>
              <w:spacing w:after="0" w:before="0"/>
            </w:pPr>
            <w:r>
              <w:rPr>
                <w:sz w:val="16"/>
              </w:rPr>
              <w:t>0,078</w:t>
            </w:r>
          </w:p>
        </w:tc>
        <w:tc>
          <w:tcPr>
            <w:tcW w:type="dxa" w:w="1304"/>
            <w:vAlign w:val="top"/>
          </w:tcPr>
          <w:p>
            <w:pPr>
              <w:spacing w:after="0" w:before="0"/>
            </w:pPr>
            <w:r>
              <w:rPr>
                <w:sz w:val="16"/>
              </w:rPr>
              <w:t>0,199</w:t>
            </w:r>
          </w:p>
        </w:tc>
        <w:tc>
          <w:tcPr>
            <w:tcW w:type="dxa" w:w="1304"/>
            <w:vAlign w:val="top"/>
          </w:tcPr>
          <w:p>
            <w:pPr>
              <w:spacing w:after="0" w:before="0"/>
            </w:pPr>
            <w:r>
              <w:rPr>
                <w:sz w:val="16"/>
              </w:rPr>
              <w:t>0,646</w:t>
            </w:r>
          </w:p>
        </w:tc>
        <w:tc>
          <w:tcPr>
            <w:tcW w:type="dxa" w:w="1134"/>
            <w:vAlign w:val="top"/>
          </w:tcPr>
          <w:p>
            <w:pPr>
              <w:spacing w:after="0" w:before="0"/>
            </w:pPr>
            <w:r>
              <w:rPr>
                <w:sz w:val="16"/>
              </w:rPr>
              <w:t>0,180</w:t>
            </w:r>
          </w:p>
        </w:tc>
        <w:tc>
          <w:tcPr>
            <w:tcW w:type="dxa" w:w="1134"/>
            <w:vAlign w:val="top"/>
          </w:tcPr>
          <w:p>
            <w:pPr>
              <w:spacing w:after="0" w:before="0"/>
            </w:pPr>
            <w:r>
              <w:rPr>
                <w:sz w:val="16"/>
              </w:rPr>
              <w:t>0,305</w:t>
            </w:r>
          </w:p>
        </w:tc>
      </w:tr>
    </w:tbl>
    <w:p/>
    <w:p>
      <w:r>
        <w:rPr>
          <w:b/>
        </w:rPr>
        <w:t xml:space="preserve">Risultato operativo importante. </w:t>
      </w:r>
      <w:r>
        <w:t>La soglia definita in sviluppo per recall ≈80% non mantiene l’80% di recall giornaliera sul final holdout: ottiene circa 53,6% a 24 h, 58,6% a 48 h e 64,6% a 72 h. Questo è un risultato finale da riportare, non un motivo per riottimizzare la soglia sul test.</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rPr>
          <w:tblHeader w:val="true"/>
          <w:cantSplit w:val="true"/>
        </w:trPr>
        <w:tc>
          <w:tcPr>
            <w:tcW w:type="dxa" w:w="1020"/>
            <w:shd w:fill="D9EAF7"/>
            <w:vAlign w:val="center"/>
          </w:tcPr>
          <w:p>
            <w:pPr>
              <w:jc w:val="center"/>
            </w:pPr>
            <w:r>
              <w:rPr>
                <w:b/>
                <w:sz w:val="15"/>
              </w:rPr>
              <w:t>Orizzonte</w:t>
            </w:r>
          </w:p>
        </w:tc>
        <w:tc>
          <w:tcPr>
            <w:tcW w:type="dxa" w:w="1474"/>
            <w:shd w:fill="D9EAF7"/>
            <w:vAlign w:val="center"/>
          </w:tcPr>
          <w:p>
            <w:pPr>
              <w:jc w:val="center"/>
            </w:pPr>
            <w:r>
              <w:rPr>
                <w:b/>
                <w:sz w:val="15"/>
              </w:rPr>
              <w:t>Policy</w:t>
            </w:r>
          </w:p>
        </w:tc>
        <w:tc>
          <w:tcPr>
            <w:tcW w:type="dxa" w:w="1191"/>
            <w:shd w:fill="D9EAF7"/>
            <w:vAlign w:val="center"/>
          </w:tcPr>
          <w:p>
            <w:pPr>
              <w:jc w:val="center"/>
            </w:pPr>
            <w:r>
              <w:rPr>
                <w:b/>
                <w:sz w:val="15"/>
              </w:rPr>
              <w:t>Cluster veri</w:t>
            </w:r>
          </w:p>
        </w:tc>
        <w:tc>
          <w:tcPr>
            <w:tcW w:type="dxa" w:w="1247"/>
            <w:shd w:fill="D9EAF7"/>
            <w:vAlign w:val="center"/>
          </w:tcPr>
          <w:p>
            <w:pPr>
              <w:jc w:val="center"/>
            </w:pPr>
            <w:r>
              <w:rPr>
                <w:b/>
                <w:sz w:val="15"/>
              </w:rPr>
              <w:t>Cluster colpiti</w:t>
            </w:r>
          </w:p>
        </w:tc>
        <w:tc>
          <w:tcPr>
            <w:tcW w:type="dxa" w:w="1134"/>
            <w:shd w:fill="D9EAF7"/>
            <w:vAlign w:val="center"/>
          </w:tcPr>
          <w:p>
            <w:pPr>
              <w:jc w:val="center"/>
            </w:pPr>
            <w:r>
              <w:rPr>
                <w:b/>
                <w:sz w:val="15"/>
              </w:rPr>
              <w:t>Hit rate</w:t>
            </w:r>
          </w:p>
        </w:tc>
        <w:tc>
          <w:tcPr>
            <w:tcW w:type="dxa" w:w="1247"/>
            <w:shd w:fill="D9EAF7"/>
            <w:vAlign w:val="center"/>
          </w:tcPr>
          <w:p>
            <w:pPr>
              <w:jc w:val="center"/>
            </w:pPr>
            <w:r>
              <w:rPr>
                <w:b/>
                <w:sz w:val="15"/>
              </w:rPr>
              <w:t>Cluster allerta</w:t>
            </w:r>
          </w:p>
        </w:tc>
        <w:tc>
          <w:tcPr>
            <w:tcW w:type="dxa" w:w="1247"/>
            <w:shd w:fill="D9EAF7"/>
            <w:vAlign w:val="center"/>
          </w:tcPr>
          <w:p>
            <w:pPr>
              <w:jc w:val="center"/>
            </w:pPr>
            <w:r>
              <w:rPr>
                <w:b/>
                <w:sz w:val="15"/>
              </w:rPr>
              <w:t>Falsi cluster</w:t>
            </w:r>
          </w:p>
        </w:tc>
        <w:tc>
          <w:tcPr>
            <w:tcW w:type="dxa" w:w="1531"/>
            <w:shd w:fill="D9EAF7"/>
            <w:vAlign w:val="center"/>
          </w:tcPr>
          <w:p>
            <w:pPr>
              <w:jc w:val="center"/>
            </w:pPr>
            <w:r>
              <w:rPr>
                <w:b/>
                <w:sz w:val="15"/>
              </w:rPr>
              <w:t>False-alert fraction</w:t>
            </w:r>
          </w:p>
        </w:tc>
      </w:tr>
      <w:tr>
        <w:trPr>
          <w:cantSplit w:val="true"/>
        </w:trPr>
        <w:tc>
          <w:tcPr>
            <w:tcW w:type="dxa" w:w="1020"/>
            <w:vAlign w:val="top"/>
          </w:tcPr>
          <w:p>
            <w:pPr>
              <w:spacing w:after="0" w:before="0"/>
            </w:pPr>
            <w:r>
              <w:rPr>
                <w:sz w:val="15"/>
              </w:rPr>
              <w:t>24 h</w:t>
            </w:r>
          </w:p>
        </w:tc>
        <w:tc>
          <w:tcPr>
            <w:tcW w:type="dxa" w:w="1474"/>
            <w:vAlign w:val="top"/>
          </w:tcPr>
          <w:p>
            <w:pPr>
              <w:spacing w:after="0" w:before="0"/>
            </w:pPr>
            <w:r>
              <w:rPr>
                <w:sz w:val="15"/>
              </w:rPr>
              <w:t>MAX_CSI</w:t>
            </w:r>
          </w:p>
        </w:tc>
        <w:tc>
          <w:tcPr>
            <w:tcW w:type="dxa" w:w="1191"/>
            <w:vAlign w:val="top"/>
          </w:tcPr>
          <w:p>
            <w:pPr>
              <w:spacing w:after="0" w:before="0"/>
            </w:pPr>
            <w:r>
              <w:rPr>
                <w:sz w:val="15"/>
              </w:rPr>
              <w:t>95</w:t>
            </w:r>
          </w:p>
        </w:tc>
        <w:tc>
          <w:tcPr>
            <w:tcW w:type="dxa" w:w="1247"/>
            <w:vAlign w:val="top"/>
          </w:tcPr>
          <w:p>
            <w:pPr>
              <w:spacing w:after="0" w:before="0"/>
            </w:pPr>
            <w:r>
              <w:rPr>
                <w:sz w:val="15"/>
              </w:rPr>
              <w:t>54</w:t>
            </w:r>
          </w:p>
        </w:tc>
        <w:tc>
          <w:tcPr>
            <w:tcW w:type="dxa" w:w="1134"/>
            <w:vAlign w:val="top"/>
          </w:tcPr>
          <w:p>
            <w:pPr>
              <w:spacing w:after="0" w:before="0"/>
            </w:pPr>
            <w:r>
              <w:rPr>
                <w:sz w:val="15"/>
              </w:rPr>
              <w:t>56,8%</w:t>
            </w:r>
          </w:p>
        </w:tc>
        <w:tc>
          <w:tcPr>
            <w:tcW w:type="dxa" w:w="1247"/>
            <w:vAlign w:val="top"/>
          </w:tcPr>
          <w:p>
            <w:pPr>
              <w:spacing w:after="0" w:before="0"/>
            </w:pPr>
            <w:r>
              <w:rPr>
                <w:sz w:val="15"/>
              </w:rPr>
              <w:t>102</w:t>
            </w:r>
          </w:p>
        </w:tc>
        <w:tc>
          <w:tcPr>
            <w:tcW w:type="dxa" w:w="1247"/>
            <w:vAlign w:val="top"/>
          </w:tcPr>
          <w:p>
            <w:pPr>
              <w:spacing w:after="0" w:before="0"/>
            </w:pPr>
            <w:r>
              <w:rPr>
                <w:sz w:val="15"/>
              </w:rPr>
              <w:t>42</w:t>
            </w:r>
          </w:p>
        </w:tc>
        <w:tc>
          <w:tcPr>
            <w:tcW w:type="dxa" w:w="1531"/>
            <w:vAlign w:val="top"/>
          </w:tcPr>
          <w:p>
            <w:pPr>
              <w:spacing w:after="0" w:before="0"/>
            </w:pPr>
            <w:r>
              <w:rPr>
                <w:sz w:val="15"/>
              </w:rPr>
              <w:t>41,2%</w:t>
            </w:r>
          </w:p>
        </w:tc>
      </w:tr>
      <w:tr>
        <w:trPr>
          <w:cantSplit w:val="true"/>
        </w:trPr>
        <w:tc>
          <w:tcPr>
            <w:tcW w:type="dxa" w:w="1020"/>
            <w:vAlign w:val="top"/>
          </w:tcPr>
          <w:p>
            <w:pPr>
              <w:spacing w:after="0" w:before="0"/>
            </w:pPr>
            <w:r>
              <w:rPr>
                <w:sz w:val="15"/>
              </w:rPr>
              <w:t>24 h</w:t>
            </w:r>
          </w:p>
        </w:tc>
        <w:tc>
          <w:tcPr>
            <w:tcW w:type="dxa" w:w="1474"/>
            <w:vAlign w:val="top"/>
          </w:tcPr>
          <w:p>
            <w:pPr>
              <w:spacing w:after="0" w:before="0"/>
            </w:pPr>
            <w:r>
              <w:rPr>
                <w:sz w:val="15"/>
              </w:rPr>
              <w:t>Recall80</w:t>
            </w:r>
          </w:p>
        </w:tc>
        <w:tc>
          <w:tcPr>
            <w:tcW w:type="dxa" w:w="1191"/>
            <w:vAlign w:val="top"/>
          </w:tcPr>
          <w:p>
            <w:pPr>
              <w:spacing w:after="0" w:before="0"/>
            </w:pPr>
            <w:r>
              <w:rPr>
                <w:sz w:val="15"/>
              </w:rPr>
              <w:t>95</w:t>
            </w:r>
          </w:p>
        </w:tc>
        <w:tc>
          <w:tcPr>
            <w:tcW w:type="dxa" w:w="1247"/>
            <w:vAlign w:val="top"/>
          </w:tcPr>
          <w:p>
            <w:pPr>
              <w:spacing w:after="0" w:before="0"/>
            </w:pPr>
            <w:r>
              <w:rPr>
                <w:sz w:val="15"/>
              </w:rPr>
              <w:t>73</w:t>
            </w:r>
          </w:p>
        </w:tc>
        <w:tc>
          <w:tcPr>
            <w:tcW w:type="dxa" w:w="1134"/>
            <w:vAlign w:val="top"/>
          </w:tcPr>
          <w:p>
            <w:pPr>
              <w:spacing w:after="0" w:before="0"/>
            </w:pPr>
            <w:r>
              <w:rPr>
                <w:sz w:val="15"/>
              </w:rPr>
              <w:t>76,8%</w:t>
            </w:r>
          </w:p>
        </w:tc>
        <w:tc>
          <w:tcPr>
            <w:tcW w:type="dxa" w:w="1247"/>
            <w:vAlign w:val="top"/>
          </w:tcPr>
          <w:p>
            <w:pPr>
              <w:spacing w:after="0" w:before="0"/>
            </w:pPr>
            <w:r>
              <w:rPr>
                <w:sz w:val="15"/>
              </w:rPr>
              <w:t>217</w:t>
            </w:r>
          </w:p>
        </w:tc>
        <w:tc>
          <w:tcPr>
            <w:tcW w:type="dxa" w:w="1247"/>
            <w:vAlign w:val="top"/>
          </w:tcPr>
          <w:p>
            <w:pPr>
              <w:spacing w:after="0" w:before="0"/>
            </w:pPr>
            <w:r>
              <w:rPr>
                <w:sz w:val="15"/>
              </w:rPr>
              <w:t>138</w:t>
            </w:r>
          </w:p>
        </w:tc>
        <w:tc>
          <w:tcPr>
            <w:tcW w:type="dxa" w:w="1531"/>
            <w:vAlign w:val="top"/>
          </w:tcPr>
          <w:p>
            <w:pPr>
              <w:spacing w:after="0" w:before="0"/>
            </w:pPr>
            <w:r>
              <w:rPr>
                <w:sz w:val="15"/>
              </w:rPr>
              <w:t>63,6%</w:t>
            </w:r>
          </w:p>
        </w:tc>
      </w:tr>
      <w:tr>
        <w:trPr>
          <w:cantSplit w:val="true"/>
        </w:trPr>
        <w:tc>
          <w:tcPr>
            <w:tcW w:type="dxa" w:w="1020"/>
            <w:vAlign w:val="top"/>
          </w:tcPr>
          <w:p>
            <w:pPr>
              <w:spacing w:after="0" w:before="0"/>
            </w:pPr>
            <w:r>
              <w:rPr>
                <w:sz w:val="15"/>
              </w:rPr>
              <w:t>48 h</w:t>
            </w:r>
          </w:p>
        </w:tc>
        <w:tc>
          <w:tcPr>
            <w:tcW w:type="dxa" w:w="1474"/>
            <w:vAlign w:val="top"/>
          </w:tcPr>
          <w:p>
            <w:pPr>
              <w:spacing w:after="0" w:before="0"/>
            </w:pPr>
            <w:r>
              <w:rPr>
                <w:sz w:val="15"/>
              </w:rPr>
              <w:t>MAX_CSI</w:t>
            </w:r>
          </w:p>
        </w:tc>
        <w:tc>
          <w:tcPr>
            <w:tcW w:type="dxa" w:w="1191"/>
            <w:vAlign w:val="top"/>
          </w:tcPr>
          <w:p>
            <w:pPr>
              <w:spacing w:after="0" w:before="0"/>
            </w:pPr>
            <w:r>
              <w:rPr>
                <w:sz w:val="15"/>
              </w:rPr>
              <w:t>90</w:t>
            </w:r>
          </w:p>
        </w:tc>
        <w:tc>
          <w:tcPr>
            <w:tcW w:type="dxa" w:w="1247"/>
            <w:vAlign w:val="top"/>
          </w:tcPr>
          <w:p>
            <w:pPr>
              <w:spacing w:after="0" w:before="0"/>
            </w:pPr>
            <w:r>
              <w:rPr>
                <w:sz w:val="15"/>
              </w:rPr>
              <w:t>49</w:t>
            </w:r>
          </w:p>
        </w:tc>
        <w:tc>
          <w:tcPr>
            <w:tcW w:type="dxa" w:w="1134"/>
            <w:vAlign w:val="top"/>
          </w:tcPr>
          <w:p>
            <w:pPr>
              <w:spacing w:after="0" w:before="0"/>
            </w:pPr>
            <w:r>
              <w:rPr>
                <w:sz w:val="15"/>
              </w:rPr>
              <w:t>54,4%</w:t>
            </w:r>
          </w:p>
        </w:tc>
        <w:tc>
          <w:tcPr>
            <w:tcW w:type="dxa" w:w="1247"/>
            <w:vAlign w:val="top"/>
          </w:tcPr>
          <w:p>
            <w:pPr>
              <w:spacing w:after="0" w:before="0"/>
            </w:pPr>
            <w:r>
              <w:rPr>
                <w:sz w:val="15"/>
              </w:rPr>
              <w:t>116</w:t>
            </w:r>
          </w:p>
        </w:tc>
        <w:tc>
          <w:tcPr>
            <w:tcW w:type="dxa" w:w="1247"/>
            <w:vAlign w:val="top"/>
          </w:tcPr>
          <w:p>
            <w:pPr>
              <w:spacing w:after="0" w:before="0"/>
            </w:pPr>
            <w:r>
              <w:rPr>
                <w:sz w:val="15"/>
              </w:rPr>
              <w:t>59</w:t>
            </w:r>
          </w:p>
        </w:tc>
        <w:tc>
          <w:tcPr>
            <w:tcW w:type="dxa" w:w="1531"/>
            <w:vAlign w:val="top"/>
          </w:tcPr>
          <w:p>
            <w:pPr>
              <w:spacing w:after="0" w:before="0"/>
            </w:pPr>
            <w:r>
              <w:rPr>
                <w:sz w:val="15"/>
              </w:rPr>
              <w:t>50,9%</w:t>
            </w:r>
          </w:p>
        </w:tc>
      </w:tr>
      <w:tr>
        <w:trPr>
          <w:cantSplit w:val="true"/>
        </w:trPr>
        <w:tc>
          <w:tcPr>
            <w:tcW w:type="dxa" w:w="1020"/>
            <w:vAlign w:val="top"/>
          </w:tcPr>
          <w:p>
            <w:pPr>
              <w:spacing w:after="0" w:before="0"/>
            </w:pPr>
            <w:r>
              <w:rPr>
                <w:sz w:val="15"/>
              </w:rPr>
              <w:t>48 h</w:t>
            </w:r>
          </w:p>
        </w:tc>
        <w:tc>
          <w:tcPr>
            <w:tcW w:type="dxa" w:w="1474"/>
            <w:vAlign w:val="top"/>
          </w:tcPr>
          <w:p>
            <w:pPr>
              <w:spacing w:after="0" w:before="0"/>
            </w:pPr>
            <w:r>
              <w:rPr>
                <w:sz w:val="15"/>
              </w:rPr>
              <w:t>Recall80</w:t>
            </w:r>
          </w:p>
        </w:tc>
        <w:tc>
          <w:tcPr>
            <w:tcW w:type="dxa" w:w="1191"/>
            <w:vAlign w:val="top"/>
          </w:tcPr>
          <w:p>
            <w:pPr>
              <w:spacing w:after="0" w:before="0"/>
            </w:pPr>
            <w:r>
              <w:rPr>
                <w:sz w:val="15"/>
              </w:rPr>
              <w:t>90</w:t>
            </w:r>
          </w:p>
        </w:tc>
        <w:tc>
          <w:tcPr>
            <w:tcW w:type="dxa" w:w="1247"/>
            <w:vAlign w:val="top"/>
          </w:tcPr>
          <w:p>
            <w:pPr>
              <w:spacing w:after="0" w:before="0"/>
            </w:pPr>
            <w:r>
              <w:rPr>
                <w:sz w:val="15"/>
              </w:rPr>
              <w:t>81</w:t>
            </w:r>
          </w:p>
        </w:tc>
        <w:tc>
          <w:tcPr>
            <w:tcW w:type="dxa" w:w="1134"/>
            <w:vAlign w:val="top"/>
          </w:tcPr>
          <w:p>
            <w:pPr>
              <w:spacing w:after="0" w:before="0"/>
            </w:pPr>
            <w:r>
              <w:rPr>
                <w:sz w:val="15"/>
              </w:rPr>
              <w:t>90,0%</w:t>
            </w:r>
          </w:p>
        </w:tc>
        <w:tc>
          <w:tcPr>
            <w:tcW w:type="dxa" w:w="1247"/>
            <w:vAlign w:val="top"/>
          </w:tcPr>
          <w:p>
            <w:pPr>
              <w:spacing w:after="0" w:before="0"/>
            </w:pPr>
            <w:r>
              <w:rPr>
                <w:sz w:val="15"/>
              </w:rPr>
              <w:t>432</w:t>
            </w:r>
          </w:p>
        </w:tc>
        <w:tc>
          <w:tcPr>
            <w:tcW w:type="dxa" w:w="1247"/>
            <w:vAlign w:val="top"/>
          </w:tcPr>
          <w:p>
            <w:pPr>
              <w:spacing w:after="0" w:before="0"/>
            </w:pPr>
            <w:r>
              <w:rPr>
                <w:sz w:val="15"/>
              </w:rPr>
              <w:t>337</w:t>
            </w:r>
          </w:p>
        </w:tc>
        <w:tc>
          <w:tcPr>
            <w:tcW w:type="dxa" w:w="1531"/>
            <w:vAlign w:val="top"/>
          </w:tcPr>
          <w:p>
            <w:pPr>
              <w:spacing w:after="0" w:before="0"/>
            </w:pPr>
            <w:r>
              <w:rPr>
                <w:sz w:val="15"/>
              </w:rPr>
              <w:t>78,0%</w:t>
            </w:r>
          </w:p>
        </w:tc>
      </w:tr>
      <w:tr>
        <w:trPr>
          <w:cantSplit w:val="true"/>
        </w:trPr>
        <w:tc>
          <w:tcPr>
            <w:tcW w:type="dxa" w:w="1020"/>
            <w:vAlign w:val="top"/>
          </w:tcPr>
          <w:p>
            <w:pPr>
              <w:spacing w:after="0" w:before="0"/>
            </w:pPr>
            <w:r>
              <w:rPr>
                <w:sz w:val="15"/>
              </w:rPr>
              <w:t>72 h</w:t>
            </w:r>
          </w:p>
        </w:tc>
        <w:tc>
          <w:tcPr>
            <w:tcW w:type="dxa" w:w="1474"/>
            <w:vAlign w:val="top"/>
          </w:tcPr>
          <w:p>
            <w:pPr>
              <w:spacing w:after="0" w:before="0"/>
            </w:pPr>
            <w:r>
              <w:rPr>
                <w:sz w:val="15"/>
              </w:rPr>
              <w:t>MAX_CSI</w:t>
            </w:r>
          </w:p>
        </w:tc>
        <w:tc>
          <w:tcPr>
            <w:tcW w:type="dxa" w:w="1191"/>
            <w:vAlign w:val="top"/>
          </w:tcPr>
          <w:p>
            <w:pPr>
              <w:spacing w:after="0" w:before="0"/>
            </w:pPr>
            <w:r>
              <w:rPr>
                <w:sz w:val="15"/>
              </w:rPr>
              <w:t>88</w:t>
            </w:r>
          </w:p>
        </w:tc>
        <w:tc>
          <w:tcPr>
            <w:tcW w:type="dxa" w:w="1247"/>
            <w:vAlign w:val="top"/>
          </w:tcPr>
          <w:p>
            <w:pPr>
              <w:spacing w:after="0" w:before="0"/>
            </w:pPr>
            <w:r>
              <w:rPr>
                <w:sz w:val="15"/>
              </w:rPr>
              <w:t>62</w:t>
            </w:r>
          </w:p>
        </w:tc>
        <w:tc>
          <w:tcPr>
            <w:tcW w:type="dxa" w:w="1134"/>
            <w:vAlign w:val="top"/>
          </w:tcPr>
          <w:p>
            <w:pPr>
              <w:spacing w:after="0" w:before="0"/>
            </w:pPr>
            <w:r>
              <w:rPr>
                <w:sz w:val="15"/>
              </w:rPr>
              <w:t>70,5%</w:t>
            </w:r>
          </w:p>
        </w:tc>
        <w:tc>
          <w:tcPr>
            <w:tcW w:type="dxa" w:w="1247"/>
            <w:vAlign w:val="top"/>
          </w:tcPr>
          <w:p>
            <w:pPr>
              <w:spacing w:after="0" w:before="0"/>
            </w:pPr>
            <w:r>
              <w:rPr>
                <w:sz w:val="15"/>
              </w:rPr>
              <w:t>226</w:t>
            </w:r>
          </w:p>
        </w:tc>
        <w:tc>
          <w:tcPr>
            <w:tcW w:type="dxa" w:w="1247"/>
            <w:vAlign w:val="top"/>
          </w:tcPr>
          <w:p>
            <w:pPr>
              <w:spacing w:after="0" w:before="0"/>
            </w:pPr>
            <w:r>
              <w:rPr>
                <w:sz w:val="15"/>
              </w:rPr>
              <w:t>147</w:t>
            </w:r>
          </w:p>
        </w:tc>
        <w:tc>
          <w:tcPr>
            <w:tcW w:type="dxa" w:w="1531"/>
            <w:vAlign w:val="top"/>
          </w:tcPr>
          <w:p>
            <w:pPr>
              <w:spacing w:after="0" w:before="0"/>
            </w:pPr>
            <w:r>
              <w:rPr>
                <w:sz w:val="15"/>
              </w:rPr>
              <w:t>65,0%</w:t>
            </w:r>
          </w:p>
        </w:tc>
      </w:tr>
      <w:tr>
        <w:trPr>
          <w:cantSplit w:val="true"/>
        </w:trPr>
        <w:tc>
          <w:tcPr>
            <w:tcW w:type="dxa" w:w="1020"/>
            <w:vAlign w:val="top"/>
          </w:tcPr>
          <w:p>
            <w:pPr>
              <w:spacing w:after="0" w:before="0"/>
            </w:pPr>
            <w:r>
              <w:rPr>
                <w:sz w:val="15"/>
              </w:rPr>
              <w:t>72 h</w:t>
            </w:r>
          </w:p>
        </w:tc>
        <w:tc>
          <w:tcPr>
            <w:tcW w:type="dxa" w:w="1474"/>
            <w:vAlign w:val="top"/>
          </w:tcPr>
          <w:p>
            <w:pPr>
              <w:spacing w:after="0" w:before="0"/>
            </w:pPr>
            <w:r>
              <w:rPr>
                <w:sz w:val="15"/>
              </w:rPr>
              <w:t>Recall80</w:t>
            </w:r>
          </w:p>
        </w:tc>
        <w:tc>
          <w:tcPr>
            <w:tcW w:type="dxa" w:w="1191"/>
            <w:vAlign w:val="top"/>
          </w:tcPr>
          <w:p>
            <w:pPr>
              <w:spacing w:after="0" w:before="0"/>
            </w:pPr>
            <w:r>
              <w:rPr>
                <w:sz w:val="15"/>
              </w:rPr>
              <w:t>88</w:t>
            </w:r>
          </w:p>
        </w:tc>
        <w:tc>
          <w:tcPr>
            <w:tcW w:type="dxa" w:w="1247"/>
            <w:vAlign w:val="top"/>
          </w:tcPr>
          <w:p>
            <w:pPr>
              <w:spacing w:after="0" w:before="0"/>
            </w:pPr>
            <w:r>
              <w:rPr>
                <w:sz w:val="15"/>
              </w:rPr>
              <w:t>84</w:t>
            </w:r>
          </w:p>
        </w:tc>
        <w:tc>
          <w:tcPr>
            <w:tcW w:type="dxa" w:w="1134"/>
            <w:vAlign w:val="top"/>
          </w:tcPr>
          <w:p>
            <w:pPr>
              <w:spacing w:after="0" w:before="0"/>
            </w:pPr>
            <w:r>
              <w:rPr>
                <w:sz w:val="15"/>
              </w:rPr>
              <w:t>95,5%</w:t>
            </w:r>
          </w:p>
        </w:tc>
        <w:tc>
          <w:tcPr>
            <w:tcW w:type="dxa" w:w="1247"/>
            <w:vAlign w:val="top"/>
          </w:tcPr>
          <w:p>
            <w:pPr>
              <w:spacing w:after="0" w:before="0"/>
            </w:pPr>
            <w:r>
              <w:rPr>
                <w:sz w:val="15"/>
              </w:rPr>
              <w:t>573</w:t>
            </w:r>
          </w:p>
        </w:tc>
        <w:tc>
          <w:tcPr>
            <w:tcW w:type="dxa" w:w="1247"/>
            <w:vAlign w:val="top"/>
          </w:tcPr>
          <w:p>
            <w:pPr>
              <w:spacing w:after="0" w:before="0"/>
            </w:pPr>
            <w:r>
              <w:rPr>
                <w:sz w:val="15"/>
              </w:rPr>
              <w:t>478</w:t>
            </w:r>
          </w:p>
        </w:tc>
        <w:tc>
          <w:tcPr>
            <w:tcW w:type="dxa" w:w="1531"/>
            <w:vAlign w:val="top"/>
          </w:tcPr>
          <w:p>
            <w:pPr>
              <w:spacing w:after="0" w:before="0"/>
            </w:pPr>
            <w:r>
              <w:rPr>
                <w:sz w:val="15"/>
              </w:rPr>
              <w:t>83,4%</w:t>
            </w:r>
          </w:p>
        </w:tc>
      </w:tr>
    </w:tbl>
    <w:p/>
    <w:tbl>
      <w:tblPr>
        <w:tblStyle w:val="TableGrid"/>
        <w:tblW w:type="auto" w:w="0"/>
        <w:jc w:val="center"/>
        <w:tblLook w:firstColumn="1" w:firstRow="1" w:lastColumn="0" w:lastRow="0" w:noHBand="0" w:noVBand="1" w:val="04A0"/>
      </w:tblPr>
      <w:tblGrid>
        <w:gridCol w:w="9858"/>
      </w:tblGrid>
      <w:tr>
        <w:tc>
          <w:tcPr>
            <w:tcW w:type="dxa" w:w="9858"/>
            <w:shd w:fill="F3F6F8"/>
          </w:tcPr>
          <w:p>
            <w:pPr>
              <w:spacing w:after="0"/>
            </w:pPr>
            <w:r>
              <w:rPr>
                <w:b/>
              </w:rPr>
              <w:t xml:space="preserve">Nota — </w:t>
            </w:r>
            <w:r>
              <w:t>I cluster sono sequenze di issue-date consecutive positive all’interno del recettore. Non equivalgono ancora a una ricostruzione fisica completa dell’evento idrologico.</w:t>
            </w:r>
          </w:p>
        </w:tc>
      </w:tr>
    </w:tbl>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cantSplit w:val="true"/>
        </w:trPr>
        <w:tc>
          <w:tcPr>
            <w:tcW w:type="dxa" w:w="1417"/>
            <w:shd w:fill="D9EAF7"/>
            <w:vAlign w:val="center"/>
          </w:tcPr>
          <w:p>
            <w:pPr>
              <w:jc w:val="center"/>
            </w:pPr>
            <w:r>
              <w:rPr>
                <w:b/>
                <w:sz w:val="17"/>
              </w:rPr>
              <w:t>Orizzonte</w:t>
            </w:r>
          </w:p>
        </w:tc>
        <w:tc>
          <w:tcPr>
            <w:tcW w:type="dxa" w:w="1984"/>
            <w:shd w:fill="D9EAF7"/>
            <w:vAlign w:val="center"/>
          </w:tcPr>
          <w:p>
            <w:pPr>
              <w:jc w:val="center"/>
            </w:pPr>
            <w:r>
              <w:rPr>
                <w:b/>
                <w:sz w:val="17"/>
              </w:rPr>
              <w:t>Metrica</w:t>
            </w:r>
          </w:p>
        </w:tc>
        <w:tc>
          <w:tcPr>
            <w:tcW w:type="dxa" w:w="1814"/>
            <w:shd w:fill="D9EAF7"/>
            <w:vAlign w:val="center"/>
          </w:tcPr>
          <w:p>
            <w:pPr>
              <w:jc w:val="center"/>
            </w:pPr>
            <w:r>
              <w:rPr>
                <w:b/>
                <w:sz w:val="17"/>
              </w:rPr>
              <w:t>Stima</w:t>
            </w:r>
          </w:p>
        </w:tc>
        <w:tc>
          <w:tcPr>
            <w:tcW w:type="dxa" w:w="2835"/>
            <w:shd w:fill="D9EAF7"/>
            <w:vAlign w:val="center"/>
          </w:tcPr>
          <w:p>
            <w:pPr>
              <w:jc w:val="center"/>
            </w:pPr>
            <w:r>
              <w:rPr>
                <w:b/>
                <w:sz w:val="17"/>
              </w:rPr>
              <w:t>IC bootstrap 95%</w:t>
            </w:r>
          </w:p>
        </w:tc>
      </w:tr>
      <w:tr>
        <w:trPr>
          <w:cantSplit w:val="true"/>
        </w:trPr>
        <w:tc>
          <w:tcPr>
            <w:tcW w:type="dxa" w:w="1417"/>
            <w:vAlign w:val="top"/>
          </w:tcPr>
          <w:p>
            <w:pPr>
              <w:spacing w:after="0" w:before="0"/>
            </w:pPr>
            <w:r>
              <w:rPr>
                <w:sz w:val="17"/>
              </w:rPr>
              <w:t>24 h</w:t>
            </w:r>
          </w:p>
        </w:tc>
        <w:tc>
          <w:tcPr>
            <w:tcW w:type="dxa" w:w="1984"/>
            <w:vAlign w:val="top"/>
          </w:tcPr>
          <w:p>
            <w:pPr>
              <w:spacing w:after="0" w:before="0"/>
            </w:pPr>
            <w:r>
              <w:rPr>
                <w:sz w:val="17"/>
              </w:rPr>
              <w:t>AP</w:t>
            </w:r>
          </w:p>
        </w:tc>
        <w:tc>
          <w:tcPr>
            <w:tcW w:type="dxa" w:w="1814"/>
            <w:vAlign w:val="top"/>
          </w:tcPr>
          <w:p>
            <w:pPr>
              <w:spacing w:after="0" w:before="0"/>
            </w:pPr>
            <w:r>
              <w:rPr>
                <w:sz w:val="17"/>
              </w:rPr>
              <w:t>0,409</w:t>
            </w:r>
          </w:p>
        </w:tc>
        <w:tc>
          <w:tcPr>
            <w:tcW w:type="dxa" w:w="2835"/>
            <w:vAlign w:val="top"/>
          </w:tcPr>
          <w:p>
            <w:pPr>
              <w:spacing w:after="0" w:before="0"/>
            </w:pPr>
            <w:r>
              <w:rPr>
                <w:sz w:val="17"/>
              </w:rPr>
              <w:t>0,303–0,515</w:t>
            </w:r>
          </w:p>
        </w:tc>
      </w:tr>
      <w:tr>
        <w:trPr>
          <w:cantSplit w:val="true"/>
        </w:trPr>
        <w:tc>
          <w:tcPr>
            <w:tcW w:type="dxa" w:w="1417"/>
            <w:vAlign w:val="top"/>
          </w:tcPr>
          <w:p>
            <w:pPr>
              <w:spacing w:after="0" w:before="0"/>
            </w:pPr>
            <w:r>
              <w:rPr>
                <w:sz w:val="17"/>
              </w:rPr>
              <w:t>24 h</w:t>
            </w:r>
          </w:p>
        </w:tc>
        <w:tc>
          <w:tcPr>
            <w:tcW w:type="dxa" w:w="1984"/>
            <w:vAlign w:val="top"/>
          </w:tcPr>
          <w:p>
            <w:pPr>
              <w:spacing w:after="0" w:before="0"/>
            </w:pPr>
            <w:r>
              <w:rPr>
                <w:sz w:val="17"/>
              </w:rPr>
              <w:t>ROC-AUC</w:t>
            </w:r>
          </w:p>
        </w:tc>
        <w:tc>
          <w:tcPr>
            <w:tcW w:type="dxa" w:w="1814"/>
            <w:vAlign w:val="top"/>
          </w:tcPr>
          <w:p>
            <w:pPr>
              <w:spacing w:after="0" w:before="0"/>
            </w:pPr>
            <w:r>
              <w:rPr>
                <w:sz w:val="17"/>
              </w:rPr>
              <w:t>0,875</w:t>
            </w:r>
          </w:p>
        </w:tc>
        <w:tc>
          <w:tcPr>
            <w:tcW w:type="dxa" w:w="2835"/>
            <w:vAlign w:val="top"/>
          </w:tcPr>
          <w:p>
            <w:pPr>
              <w:spacing w:after="0" w:before="0"/>
            </w:pPr>
            <w:r>
              <w:rPr>
                <w:sz w:val="17"/>
              </w:rPr>
              <w:t>0,831–0,929</w:t>
            </w:r>
          </w:p>
        </w:tc>
      </w:tr>
      <w:tr>
        <w:trPr>
          <w:cantSplit w:val="true"/>
        </w:trPr>
        <w:tc>
          <w:tcPr>
            <w:tcW w:type="dxa" w:w="1417"/>
            <w:vAlign w:val="top"/>
          </w:tcPr>
          <w:p>
            <w:pPr>
              <w:spacing w:after="0" w:before="0"/>
            </w:pPr>
            <w:r>
              <w:rPr>
                <w:sz w:val="17"/>
              </w:rPr>
              <w:t>24 h</w:t>
            </w:r>
          </w:p>
        </w:tc>
        <w:tc>
          <w:tcPr>
            <w:tcW w:type="dxa" w:w="1984"/>
            <w:vAlign w:val="top"/>
          </w:tcPr>
          <w:p>
            <w:pPr>
              <w:spacing w:after="0" w:before="0"/>
            </w:pPr>
            <w:r>
              <w:rPr>
                <w:sz w:val="17"/>
              </w:rPr>
              <w:t>Brier</w:t>
            </w:r>
          </w:p>
        </w:tc>
        <w:tc>
          <w:tcPr>
            <w:tcW w:type="dxa" w:w="1814"/>
            <w:vAlign w:val="top"/>
          </w:tcPr>
          <w:p>
            <w:pPr>
              <w:spacing w:after="0" w:before="0"/>
            </w:pPr>
            <w:r>
              <w:rPr>
                <w:sz w:val="17"/>
              </w:rPr>
              <w:t>0,0320</w:t>
            </w:r>
          </w:p>
        </w:tc>
        <w:tc>
          <w:tcPr>
            <w:tcW w:type="dxa" w:w="2835"/>
            <w:vAlign w:val="top"/>
          </w:tcPr>
          <w:p>
            <w:pPr>
              <w:spacing w:after="0" w:before="0"/>
            </w:pPr>
            <w:r>
              <w:rPr>
                <w:sz w:val="17"/>
              </w:rPr>
              <w:t>0,0210–0,0447</w:t>
            </w:r>
          </w:p>
        </w:tc>
      </w:tr>
      <w:tr>
        <w:trPr>
          <w:cantSplit w:val="true"/>
        </w:trPr>
        <w:tc>
          <w:tcPr>
            <w:tcW w:type="dxa" w:w="1417"/>
            <w:vAlign w:val="top"/>
          </w:tcPr>
          <w:p>
            <w:pPr>
              <w:spacing w:after="0" w:before="0"/>
            </w:pPr>
            <w:r>
              <w:rPr>
                <w:sz w:val="17"/>
              </w:rPr>
              <w:t>48 h</w:t>
            </w:r>
          </w:p>
        </w:tc>
        <w:tc>
          <w:tcPr>
            <w:tcW w:type="dxa" w:w="1984"/>
            <w:vAlign w:val="top"/>
          </w:tcPr>
          <w:p>
            <w:pPr>
              <w:spacing w:after="0" w:before="0"/>
            </w:pPr>
            <w:r>
              <w:rPr>
                <w:sz w:val="17"/>
              </w:rPr>
              <w:t>AP</w:t>
            </w:r>
          </w:p>
        </w:tc>
        <w:tc>
          <w:tcPr>
            <w:tcW w:type="dxa" w:w="1814"/>
            <w:vAlign w:val="top"/>
          </w:tcPr>
          <w:p>
            <w:pPr>
              <w:spacing w:after="0" w:before="0"/>
            </w:pPr>
            <w:r>
              <w:rPr>
                <w:sz w:val="17"/>
              </w:rPr>
              <w:t>0,336</w:t>
            </w:r>
          </w:p>
        </w:tc>
        <w:tc>
          <w:tcPr>
            <w:tcW w:type="dxa" w:w="2835"/>
            <w:vAlign w:val="top"/>
          </w:tcPr>
          <w:p>
            <w:pPr>
              <w:spacing w:after="0" w:before="0"/>
            </w:pPr>
            <w:r>
              <w:rPr>
                <w:sz w:val="17"/>
              </w:rPr>
              <w:t>0,253–0,420</w:t>
            </w:r>
          </w:p>
        </w:tc>
      </w:tr>
      <w:tr>
        <w:trPr>
          <w:cantSplit w:val="true"/>
        </w:trPr>
        <w:tc>
          <w:tcPr>
            <w:tcW w:type="dxa" w:w="1417"/>
            <w:vAlign w:val="top"/>
          </w:tcPr>
          <w:p>
            <w:pPr>
              <w:spacing w:after="0" w:before="0"/>
            </w:pPr>
            <w:r>
              <w:rPr>
                <w:sz w:val="17"/>
              </w:rPr>
              <w:t>48 h</w:t>
            </w:r>
          </w:p>
        </w:tc>
        <w:tc>
          <w:tcPr>
            <w:tcW w:type="dxa" w:w="1984"/>
            <w:vAlign w:val="top"/>
          </w:tcPr>
          <w:p>
            <w:pPr>
              <w:spacing w:after="0" w:before="0"/>
            </w:pPr>
            <w:r>
              <w:rPr>
                <w:sz w:val="17"/>
              </w:rPr>
              <w:t>ROC-AUC</w:t>
            </w:r>
          </w:p>
        </w:tc>
        <w:tc>
          <w:tcPr>
            <w:tcW w:type="dxa" w:w="1814"/>
            <w:vAlign w:val="top"/>
          </w:tcPr>
          <w:p>
            <w:pPr>
              <w:spacing w:after="0" w:before="0"/>
            </w:pPr>
            <w:r>
              <w:rPr>
                <w:sz w:val="17"/>
              </w:rPr>
              <w:t>0,836</w:t>
            </w:r>
          </w:p>
        </w:tc>
        <w:tc>
          <w:tcPr>
            <w:tcW w:type="dxa" w:w="2835"/>
            <w:vAlign w:val="top"/>
          </w:tcPr>
          <w:p>
            <w:pPr>
              <w:spacing w:after="0" w:before="0"/>
            </w:pPr>
            <w:r>
              <w:rPr>
                <w:sz w:val="17"/>
              </w:rPr>
              <w:t>0,801–0,877</w:t>
            </w:r>
          </w:p>
        </w:tc>
      </w:tr>
      <w:tr>
        <w:trPr>
          <w:cantSplit w:val="true"/>
        </w:trPr>
        <w:tc>
          <w:tcPr>
            <w:tcW w:type="dxa" w:w="1417"/>
            <w:vAlign w:val="top"/>
          </w:tcPr>
          <w:p>
            <w:pPr>
              <w:spacing w:after="0" w:before="0"/>
            </w:pPr>
            <w:r>
              <w:rPr>
                <w:sz w:val="17"/>
              </w:rPr>
              <w:t>48 h</w:t>
            </w:r>
          </w:p>
        </w:tc>
        <w:tc>
          <w:tcPr>
            <w:tcW w:type="dxa" w:w="1984"/>
            <w:vAlign w:val="top"/>
          </w:tcPr>
          <w:p>
            <w:pPr>
              <w:spacing w:after="0" w:before="0"/>
            </w:pPr>
            <w:r>
              <w:rPr>
                <w:sz w:val="17"/>
              </w:rPr>
              <w:t>Brier</w:t>
            </w:r>
          </w:p>
        </w:tc>
        <w:tc>
          <w:tcPr>
            <w:tcW w:type="dxa" w:w="1814"/>
            <w:vAlign w:val="top"/>
          </w:tcPr>
          <w:p>
            <w:pPr>
              <w:spacing w:after="0" w:before="0"/>
            </w:pPr>
            <w:r>
              <w:rPr>
                <w:sz w:val="17"/>
              </w:rPr>
              <w:t>0,0450</w:t>
            </w:r>
          </w:p>
        </w:tc>
        <w:tc>
          <w:tcPr>
            <w:tcW w:type="dxa" w:w="2835"/>
            <w:vAlign w:val="top"/>
          </w:tcPr>
          <w:p>
            <w:pPr>
              <w:spacing w:after="0" w:before="0"/>
            </w:pPr>
            <w:r>
              <w:rPr>
                <w:sz w:val="17"/>
              </w:rPr>
              <w:t>0,0328–0,0589</w:t>
            </w:r>
          </w:p>
        </w:tc>
      </w:tr>
      <w:tr>
        <w:trPr>
          <w:cantSplit w:val="true"/>
        </w:trPr>
        <w:tc>
          <w:tcPr>
            <w:tcW w:type="dxa" w:w="1417"/>
            <w:vAlign w:val="top"/>
          </w:tcPr>
          <w:p>
            <w:pPr>
              <w:spacing w:after="0" w:before="0"/>
            </w:pPr>
            <w:r>
              <w:rPr>
                <w:sz w:val="17"/>
              </w:rPr>
              <w:t>72 h</w:t>
            </w:r>
          </w:p>
        </w:tc>
        <w:tc>
          <w:tcPr>
            <w:tcW w:type="dxa" w:w="1984"/>
            <w:vAlign w:val="top"/>
          </w:tcPr>
          <w:p>
            <w:pPr>
              <w:spacing w:after="0" w:before="0"/>
            </w:pPr>
            <w:r>
              <w:rPr>
                <w:sz w:val="17"/>
              </w:rPr>
              <w:t>AP</w:t>
            </w:r>
          </w:p>
        </w:tc>
        <w:tc>
          <w:tcPr>
            <w:tcW w:type="dxa" w:w="1814"/>
            <w:vAlign w:val="top"/>
          </w:tcPr>
          <w:p>
            <w:pPr>
              <w:spacing w:after="0" w:before="0"/>
            </w:pPr>
            <w:r>
              <w:rPr>
                <w:sz w:val="17"/>
              </w:rPr>
              <w:t>0,291</w:t>
            </w:r>
          </w:p>
        </w:tc>
        <w:tc>
          <w:tcPr>
            <w:tcW w:type="dxa" w:w="2835"/>
            <w:vAlign w:val="top"/>
          </w:tcPr>
          <w:p>
            <w:pPr>
              <w:spacing w:after="0" w:before="0"/>
            </w:pPr>
            <w:r>
              <w:rPr>
                <w:sz w:val="17"/>
              </w:rPr>
              <w:t>0,223–0,367</w:t>
            </w:r>
          </w:p>
        </w:tc>
      </w:tr>
      <w:tr>
        <w:trPr>
          <w:cantSplit w:val="true"/>
        </w:trPr>
        <w:tc>
          <w:tcPr>
            <w:tcW w:type="dxa" w:w="1417"/>
            <w:vAlign w:val="top"/>
          </w:tcPr>
          <w:p>
            <w:pPr>
              <w:spacing w:after="0" w:before="0"/>
            </w:pPr>
            <w:r>
              <w:rPr>
                <w:sz w:val="17"/>
              </w:rPr>
              <w:t>72 h</w:t>
            </w:r>
          </w:p>
        </w:tc>
        <w:tc>
          <w:tcPr>
            <w:tcW w:type="dxa" w:w="1984"/>
            <w:vAlign w:val="top"/>
          </w:tcPr>
          <w:p>
            <w:pPr>
              <w:spacing w:after="0" w:before="0"/>
            </w:pPr>
            <w:r>
              <w:rPr>
                <w:sz w:val="17"/>
              </w:rPr>
              <w:t>ROC-AUC</w:t>
            </w:r>
          </w:p>
        </w:tc>
        <w:tc>
          <w:tcPr>
            <w:tcW w:type="dxa" w:w="1814"/>
            <w:vAlign w:val="top"/>
          </w:tcPr>
          <w:p>
            <w:pPr>
              <w:spacing w:after="0" w:before="0"/>
            </w:pPr>
            <w:r>
              <w:rPr>
                <w:sz w:val="17"/>
              </w:rPr>
              <w:t>0,810</w:t>
            </w:r>
          </w:p>
        </w:tc>
        <w:tc>
          <w:tcPr>
            <w:tcW w:type="dxa" w:w="2835"/>
            <w:vAlign w:val="top"/>
          </w:tcPr>
          <w:p>
            <w:pPr>
              <w:spacing w:after="0" w:before="0"/>
            </w:pPr>
            <w:r>
              <w:rPr>
                <w:sz w:val="17"/>
              </w:rPr>
              <w:t>0,786–0,834</w:t>
            </w:r>
          </w:p>
        </w:tc>
      </w:tr>
      <w:tr>
        <w:trPr>
          <w:cantSplit w:val="true"/>
        </w:trPr>
        <w:tc>
          <w:tcPr>
            <w:tcW w:type="dxa" w:w="1417"/>
            <w:vAlign w:val="top"/>
          </w:tcPr>
          <w:p>
            <w:pPr>
              <w:spacing w:after="0" w:before="0"/>
            </w:pPr>
            <w:r>
              <w:rPr>
                <w:sz w:val="17"/>
              </w:rPr>
              <w:t>72 h</w:t>
            </w:r>
          </w:p>
        </w:tc>
        <w:tc>
          <w:tcPr>
            <w:tcW w:type="dxa" w:w="1984"/>
            <w:vAlign w:val="top"/>
          </w:tcPr>
          <w:p>
            <w:pPr>
              <w:spacing w:after="0" w:before="0"/>
            </w:pPr>
            <w:r>
              <w:rPr>
                <w:sz w:val="17"/>
              </w:rPr>
              <w:t>Brier</w:t>
            </w:r>
          </w:p>
        </w:tc>
        <w:tc>
          <w:tcPr>
            <w:tcW w:type="dxa" w:w="1814"/>
            <w:vAlign w:val="top"/>
          </w:tcPr>
          <w:p>
            <w:pPr>
              <w:spacing w:after="0" w:before="0"/>
            </w:pPr>
            <w:r>
              <w:rPr>
                <w:sz w:val="17"/>
              </w:rPr>
              <w:t>0,0588</w:t>
            </w:r>
          </w:p>
        </w:tc>
        <w:tc>
          <w:tcPr>
            <w:tcW w:type="dxa" w:w="2835"/>
            <w:vAlign w:val="top"/>
          </w:tcPr>
          <w:p>
            <w:pPr>
              <w:spacing w:after="0" w:before="0"/>
            </w:pPr>
            <w:r>
              <w:rPr>
                <w:sz w:val="17"/>
              </w:rPr>
              <w:t>0,0461–0,0725</w:t>
            </w:r>
          </w:p>
        </w:tc>
      </w:tr>
    </w:tbl>
    <w:p/>
    <w:p>
      <w:r>
        <w:t>Gli intervalli sono ottenuti con 2.000 replicazioni bootstrap a blocchi receptor_id × season-year (59 blocchi), non con resampling indipendente delle singole righe giornaliere. Questo riduce il rischio di sottostimare l’incertezza dovuta alla dipendenza temporale e alle finestre di previsione sovrapposte.</w:t>
      </w:r>
    </w:p>
    <w:p>
      <w:pPr>
        <w:pStyle w:val="BodyText"/>
        <w:spacing w:before="40" w:after="80"/>
        <w:ind w:left="283" w:right="170"/>
      </w:pPr>
      <w:r>
        <w:rPr>
          <w:rFonts w:ascii="Courier New" w:hAnsi="Courier New"/>
          <w:sz w:val="17"/>
        </w:rPr>
        <w:t>nw_flood_model_final_holdout_evaluation_v1_0/final_holdout_predictions_v1_0.parquet</w:t>
      </w:r>
    </w:p>
    <w:p>
      <w:pPr>
        <w:pStyle w:val="BodyText"/>
        <w:spacing w:before="40" w:after="80"/>
        <w:ind w:left="283" w:right="170"/>
      </w:pPr>
      <w:r>
        <w:rPr>
          <w:rFonts w:ascii="Courier New" w:hAnsi="Courier New"/>
          <w:sz w:val="17"/>
        </w:rPr>
        <w:t>nw_flood_model_final_holdout_evaluation_v1_0/final_holdout_probability_metrics_v1_0.csv</w:t>
      </w:r>
    </w:p>
    <w:p>
      <w:pPr>
        <w:pStyle w:val="BodyText"/>
        <w:spacing w:before="40" w:after="80"/>
        <w:ind w:left="283" w:right="170"/>
      </w:pPr>
      <w:r>
        <w:rPr>
          <w:rFonts w:ascii="Courier New" w:hAnsi="Courier New"/>
          <w:sz w:val="17"/>
        </w:rPr>
        <w:t>nw_flood_model_final_holdout_evaluation_v1_0/final_holdout_bootstrap_ci_v1_0.csv</w:t>
      </w:r>
    </w:p>
    <w:p>
      <w:pPr>
        <w:pStyle w:val="Heading1"/>
      </w:pPr>
      <w:r>
        <w:t>14. Interpretazione scientifica e limiti</w:t>
      </w:r>
    </w:p>
    <w:p>
      <w:pPr>
        <w:pStyle w:val="ListBullet"/>
        <w:spacing w:after="40"/>
      </w:pPr>
      <w:r>
        <w:t>Il modello CORE dimostra capacità discriminante e skill probabilistico indipendente, ma non è ancora un sistema operativo di allerta pronto per il tempo reale.</w:t>
      </w:r>
    </w:p>
    <w:p>
      <w:pPr>
        <w:pStyle w:val="ListBullet"/>
        <w:spacing w:after="40"/>
      </w:pPr>
      <w:r>
        <w:t>ERA5 è reanalysis: per operatività servono analisi/NWP disponibili al tempo di emissione e un audit rigoroso della disponibilità reale delle feature.</w:t>
      </w:r>
    </w:p>
    <w:p>
      <w:pPr>
        <w:pStyle w:val="ListBullet"/>
        <w:spacing w:after="40"/>
      </w:pPr>
      <w:r>
        <w:t>Le feature same-day assumono convenzione di issue time a fine giornata t; un sistema intraday richiederebbe feature disponibili entro il cutoff operativo.</w:t>
      </w:r>
    </w:p>
    <w:p>
      <w:pPr>
        <w:pStyle w:val="ListBullet"/>
        <w:spacing w:after="40"/>
      </w:pPr>
      <w:r>
        <w:t>Le soglie ufficiali ARPA/ARPAL sono correnti e non vengono retroproiettate automaticamente al 1987.</w:t>
      </w:r>
    </w:p>
    <w:p>
      <w:pPr>
        <w:pStyle w:val="ListBullet"/>
        <w:spacing w:after="40"/>
      </w:pPr>
      <w:r>
        <w:t>LIG_CENTA usa un proxy tributario Neva/Cisano; questa eccezione deve rimanere esplicita in ogni pubblicazione.</w:t>
      </w:r>
    </w:p>
    <w:p>
      <w:pPr>
        <w:pStyle w:val="ListBullet"/>
        <w:spacing w:after="40"/>
      </w:pPr>
      <w:r>
        <w:t>LIG_ENTELLA non ha target idrologico primario canonico e non partecipa al modello supervisionato finale.</w:t>
      </w:r>
    </w:p>
    <w:p>
      <w:pPr>
        <w:pStyle w:val="ListBullet"/>
        <w:spacing w:after="40"/>
      </w:pPr>
      <w:r>
        <w:t>Le feature di precipitazione osservata non fanno parte del CORE: sono un’analisi augment opzionale e non possono essere usate post-hoc per “migliorare” il risultato 2023–2025 senza perdere l’indipendenza del test.</w:t>
      </w:r>
    </w:p>
    <w:p>
      <w:pPr>
        <w:pStyle w:val="ListBullet"/>
        <w:spacing w:after="40"/>
      </w:pPr>
      <w:r>
        <w:t>Le probabilità e le soglie non devono essere interpretate come sostituto della responsabilità operativa dei Centri Funzionali o delle procedure ufficiali di protezione civile.</w:t>
      </w:r>
    </w:p>
    <w:p>
      <w:pPr>
        <w:pStyle w:val="ListBullet"/>
        <w:spacing w:after="40"/>
      </w:pPr>
      <w:r>
        <w:t>Il modello non contiene ancora una componente esplicita di forecast meteorologico futuro t+1..t+H: usa stato storico/antecedente. Un’implementazione operativa dovrà integrare previsioni NWP o analoghi coerenti con l’issue time.</w:t>
      </w:r>
    </w:p>
    <w:p>
      <w:pPr>
        <w:pStyle w:val="Heading1"/>
      </w:pPr>
      <w:r>
        <w:t>15. Ramo parallelo Tanaro–Arroscia</w:t>
      </w:r>
    </w:p>
    <w:p>
      <w:r>
        <w:t>Il ramo Tanaro–Arroscia è rimasto separato dal modello regionale generale. Il suo obiettivo è verificare, senza assumere il beneficio a priori, se un trasferimento controllato possa ridurre il rischio in presenza di asincronia dei picchi e capacità residua del bacino ricevente.</w:t>
      </w:r>
    </w:p>
    <w:p>
      <w:pPr>
        <w:pStyle w:val="ListBullet"/>
        <w:spacing w:after="40"/>
      </w:pPr>
      <w:r>
        <w:t>GLoFAS Historical v4.0 settembre–dicembre 1987–2025: audit canonico v1.2 CLOSED, 154 mesi strict PASS + 2 eccezioni di sorgente documentate (dicembre 2024 e 2025).</w:t>
      </w:r>
    </w:p>
    <w:p>
      <w:pPr>
        <w:pStyle w:val="ListBullet"/>
        <w:spacing w:after="40"/>
      </w:pPr>
      <w:r>
        <w:t>Mancano soltanto 31 dicembre 2024 e 31 dicembre 2025 dopo normalizzazione; nessuna interpolazione.</w:t>
      </w:r>
    </w:p>
    <w:p>
      <w:pPr>
        <w:pStyle w:val="ListBullet"/>
        <w:spacing w:after="40"/>
      </w:pPr>
      <w:r>
        <w:t>Terrain/hydrology Tanaro–Arroscia: CLOSED / PASS. Controllo area Garessio: DEM 252,68 km² vs ufficiale 250 km² (errore ~1,07%). Pieve: DEM 86,42 km² vs ufficiale 87 km² (errore ~0,67%).</w:t>
      </w:r>
    </w:p>
    <w:p>
      <w:pPr>
        <w:pStyle w:val="ListBullet"/>
        <w:spacing w:after="40"/>
      </w:pPr>
      <w:r>
        <w:t>Screening eventi v1.1: 17 eventi candidati; presenti categorie BOTH_HIGH_SAME_DAY, BOTH_HIGH_PIEVE_EARLIER, ARROSCIA_DOMINANT e TANARO_DOMINANT.</w:t>
      </w:r>
    </w:p>
    <w:p>
      <w:pPr>
        <w:pStyle w:val="ListBullet"/>
        <w:spacing w:after="40"/>
      </w:pPr>
      <w:r>
        <w:t>Il timing disponibile è screening giornaliero/suborario; non prova ancora il lag idraulico né la fattibilità del collegamento.</w:t>
      </w:r>
    </w:p>
    <w:p>
      <w:pPr>
        <w:pStyle w:val="ListBullet"/>
        <w:spacing w:after="40"/>
      </w:pPr>
      <w:r>
        <w:t>Le sezioni Garessio/Pieve sono controlli idrologici, non sono automaticamente i punti di presa/restituzione di un eventuale tunnel.</w:t>
      </w:r>
    </w:p>
    <w:tbl>
      <w:tblPr>
        <w:tblStyle w:val="TableGrid"/>
        <w:tblW w:type="auto" w:w="0"/>
        <w:jc w:val="center"/>
        <w:tblLook w:firstColumn="1" w:firstRow="1" w:lastColumn="0" w:lastRow="0" w:noHBand="0" w:noVBand="1" w:val="04A0"/>
      </w:tblPr>
      <w:tblGrid>
        <w:gridCol w:w="9858"/>
      </w:tblGrid>
      <w:tr>
        <w:tc>
          <w:tcPr>
            <w:tcW w:type="dxa" w:w="9858"/>
            <w:shd w:fill="F3F6F8"/>
          </w:tcPr>
          <w:p>
            <w:pPr>
              <w:spacing w:after="0"/>
            </w:pPr>
            <w:r>
              <w:rPr>
                <w:b/>
              </w:rPr>
              <w:t xml:space="preserve">Nota — </w:t>
            </w:r>
            <w:r>
              <w:t>Qualunque progetto di collegamento richiederà dati idraulici, sezioni, regole operative, capacità di trasferimento, vincoli ambientali e studi di rischio dedicati. Il modello regionale non sostituisce la progettazione ingegneristica.</w:t>
            </w:r>
          </w:p>
        </w:tc>
      </w:tr>
    </w:tbl>
    <w:p/>
    <w:p>
      <w:pPr>
        <w:pStyle w:val="Heading1"/>
      </w:pPr>
      <w:r>
        <w:t>16. Registro dei principali artefatti e script canonici</w:t>
      </w:r>
    </w:p>
    <w:p>
      <w:r>
        <w:t>La tabella seguente riporta gli script e gli artefatti che devono essere considerati riferimento attuale. Per i raw massivi si indica la cartella/pattern, non ogni singolo file.</w:t>
      </w:r>
    </w:p>
    <w:tbl>
      <w:tblPr>
        <w:tblStyle w:val="TableGrid"/>
        <w:tblW w:type="auto" w:w="0"/>
        <w:jc w:val="center"/>
        <w:tblLook w:firstColumn="1" w:firstRow="1" w:lastColumn="0" w:lastRow="0" w:noHBand="0" w:noVBand="1" w:val="04A0"/>
      </w:tblPr>
      <w:tblGrid>
        <w:gridCol w:w="2464"/>
        <w:gridCol w:w="2464"/>
        <w:gridCol w:w="2464"/>
        <w:gridCol w:w="2464"/>
      </w:tblGrid>
      <w:tr>
        <w:trPr>
          <w:tblHeader w:val="true"/>
          <w:cantSplit w:val="true"/>
        </w:trPr>
        <w:tc>
          <w:tcPr>
            <w:tcW w:type="dxa" w:w="1928"/>
            <w:shd w:fill="D9EAF7"/>
            <w:vAlign w:val="center"/>
          </w:tcPr>
          <w:p>
            <w:pPr>
              <w:jc w:val="center"/>
            </w:pPr>
            <w:r>
              <w:rPr>
                <w:b/>
                <w:sz w:val="14"/>
              </w:rPr>
              <w:t>Blocco</w:t>
            </w:r>
          </w:p>
        </w:tc>
        <w:tc>
          <w:tcPr>
            <w:tcW w:type="dxa" w:w="2948"/>
            <w:shd w:fill="D9EAF7"/>
            <w:vAlign w:val="center"/>
          </w:tcPr>
          <w:p>
            <w:pPr>
              <w:jc w:val="center"/>
            </w:pPr>
            <w:r>
              <w:rPr>
                <w:b/>
                <w:sz w:val="14"/>
              </w:rPr>
              <w:t>Script / versione</w:t>
            </w:r>
          </w:p>
        </w:tc>
        <w:tc>
          <w:tcPr>
            <w:tcW w:type="dxa" w:w="3402"/>
            <w:shd w:fill="D9EAF7"/>
            <w:vAlign w:val="center"/>
          </w:tcPr>
          <w:p>
            <w:pPr>
              <w:jc w:val="center"/>
            </w:pPr>
            <w:r>
              <w:rPr>
                <w:b/>
                <w:sz w:val="14"/>
              </w:rPr>
              <w:t>Artefatto principale</w:t>
            </w:r>
          </w:p>
        </w:tc>
        <w:tc>
          <w:tcPr>
            <w:tcW w:type="dxa" w:w="1984"/>
            <w:shd w:fill="D9EAF7"/>
            <w:vAlign w:val="center"/>
          </w:tcPr>
          <w:p>
            <w:pPr>
              <w:jc w:val="center"/>
            </w:pPr>
            <w:r>
              <w:rPr>
                <w:b/>
                <w:sz w:val="14"/>
              </w:rPr>
              <w:t>Stato</w:t>
            </w:r>
          </w:p>
        </w:tc>
      </w:tr>
      <w:tr>
        <w:trPr>
          <w:cantSplit w:val="true"/>
        </w:trPr>
        <w:tc>
          <w:tcPr>
            <w:tcW w:type="dxa" w:w="1928"/>
            <w:vAlign w:val="top"/>
          </w:tcPr>
          <w:p>
            <w:pPr>
              <w:spacing w:after="0" w:before="0"/>
            </w:pPr>
            <w:r>
              <w:rPr>
                <w:sz w:val="14"/>
              </w:rPr>
              <w:t>Mare 2026</w:t>
            </w:r>
          </w:p>
        </w:tc>
        <w:tc>
          <w:tcPr>
            <w:tcW w:type="dxa" w:w="2948"/>
            <w:vAlign w:val="top"/>
          </w:tcPr>
          <w:p>
            <w:pPr>
              <w:spacing w:after="0" w:before="0"/>
            </w:pPr>
            <w:r>
              <w:rPr>
                <w:sz w:val="14"/>
              </w:rPr>
              <w:t>analyse_italy_seas_final_v2.py</w:t>
            </w:r>
          </w:p>
        </w:tc>
        <w:tc>
          <w:tcPr>
            <w:tcW w:type="dxa" w:w="3402"/>
            <w:vAlign w:val="top"/>
          </w:tcPr>
          <w:p>
            <w:pPr>
              <w:spacing w:after="0" w:before="0"/>
            </w:pPr>
            <w:r>
              <w:rPr>
                <w:sz w:val="14"/>
              </w:rPr>
              <w:t>ocean_final/</w:t>
            </w:r>
          </w:p>
        </w:tc>
        <w:tc>
          <w:tcPr>
            <w:tcW w:type="dxa" w:w="1984"/>
            <w:vAlign w:val="top"/>
          </w:tcPr>
          <w:p>
            <w:pPr>
              <w:spacing w:after="0" w:before="0"/>
            </w:pPr>
            <w:r>
              <w:rPr>
                <w:sz w:val="14"/>
              </w:rPr>
              <w:t>COMPLETATO / VALIDATO</w:t>
            </w:r>
          </w:p>
        </w:tc>
      </w:tr>
      <w:tr>
        <w:trPr>
          <w:cantSplit w:val="true"/>
        </w:trPr>
        <w:tc>
          <w:tcPr>
            <w:tcW w:type="dxa" w:w="1928"/>
            <w:vAlign w:val="top"/>
          </w:tcPr>
          <w:p>
            <w:pPr>
              <w:spacing w:after="0" w:before="0"/>
            </w:pPr>
            <w:r>
              <w:rPr>
                <w:sz w:val="14"/>
              </w:rPr>
              <w:t>Mare storico download</w:t>
            </w:r>
          </w:p>
        </w:tc>
        <w:tc>
          <w:tcPr>
            <w:tcW w:type="dxa" w:w="2948"/>
            <w:vAlign w:val="top"/>
          </w:tcPr>
          <w:p>
            <w:pPr>
              <w:spacing w:after="0" w:before="0"/>
            </w:pPr>
            <w:r>
              <w:rPr>
                <w:sz w:val="14"/>
              </w:rPr>
              <w:t>download_medsea_historical_nw.py</w:t>
            </w:r>
          </w:p>
        </w:tc>
        <w:tc>
          <w:tcPr>
            <w:tcW w:type="dxa" w:w="3402"/>
            <w:vAlign w:val="top"/>
          </w:tcPr>
          <w:p>
            <w:pPr>
              <w:spacing w:after="0" w:before="0"/>
            </w:pPr>
            <w:r>
              <w:rPr>
                <w:sz w:val="14"/>
              </w:rPr>
              <w:t>medsea_historical_nw/</w:t>
            </w:r>
          </w:p>
        </w:tc>
        <w:tc>
          <w:tcPr>
            <w:tcW w:type="dxa" w:w="1984"/>
            <w:vAlign w:val="top"/>
          </w:tcPr>
          <w:p>
            <w:pPr>
              <w:spacing w:after="0" w:before="0"/>
            </w:pPr>
            <w:r>
              <w:rPr>
                <w:sz w:val="14"/>
              </w:rPr>
              <w:t>CLOSED / AUDIT PASS</w:t>
            </w:r>
          </w:p>
        </w:tc>
      </w:tr>
      <w:tr>
        <w:trPr>
          <w:cantSplit w:val="true"/>
        </w:trPr>
        <w:tc>
          <w:tcPr>
            <w:tcW w:type="dxa" w:w="1928"/>
            <w:vAlign w:val="top"/>
          </w:tcPr>
          <w:p>
            <w:pPr>
              <w:spacing w:after="0" w:before="0"/>
            </w:pPr>
            <w:r>
              <w:rPr>
                <w:sz w:val="14"/>
              </w:rPr>
              <w:t>Mare storico process</w:t>
            </w:r>
          </w:p>
        </w:tc>
        <w:tc>
          <w:tcPr>
            <w:tcW w:type="dxa" w:w="2948"/>
            <w:vAlign w:val="top"/>
          </w:tcPr>
          <w:p>
            <w:pPr>
              <w:spacing w:after="0" w:before="0"/>
            </w:pPr>
            <w:r>
              <w:rPr>
                <w:sz w:val="14"/>
              </w:rPr>
              <w:t>process_medsea_historical_nw.py</w:t>
            </w:r>
          </w:p>
        </w:tc>
        <w:tc>
          <w:tcPr>
            <w:tcW w:type="dxa" w:w="3402"/>
            <w:vAlign w:val="top"/>
          </w:tcPr>
          <w:p>
            <w:pPr>
              <w:spacing w:after="0" w:before="0"/>
            </w:pPr>
            <w:r>
              <w:rPr>
                <w:sz w:val="14"/>
              </w:rPr>
              <w:t>medsea_historical_analysis/</w:t>
            </w:r>
          </w:p>
        </w:tc>
        <w:tc>
          <w:tcPr>
            <w:tcW w:type="dxa" w:w="1984"/>
            <w:vAlign w:val="top"/>
          </w:tcPr>
          <w:p>
            <w:pPr>
              <w:spacing w:after="0" w:before="0"/>
            </w:pPr>
            <w:r>
              <w:rPr>
                <w:sz w:val="14"/>
              </w:rPr>
              <w:t>CLOSED / SANITY PASS</w:t>
            </w:r>
          </w:p>
        </w:tc>
      </w:tr>
      <w:tr>
        <w:trPr>
          <w:cantSplit w:val="true"/>
        </w:trPr>
        <w:tc>
          <w:tcPr>
            <w:tcW w:type="dxa" w:w="1928"/>
            <w:vAlign w:val="top"/>
          </w:tcPr>
          <w:p>
            <w:pPr>
              <w:spacing w:after="0" w:before="0"/>
            </w:pPr>
            <w:r>
              <w:rPr>
                <w:sz w:val="14"/>
              </w:rPr>
              <w:t>Recettori regionali</w:t>
            </w:r>
          </w:p>
        </w:tc>
        <w:tc>
          <w:tcPr>
            <w:tcW w:type="dxa" w:w="2948"/>
            <w:vAlign w:val="top"/>
          </w:tcPr>
          <w:p>
            <w:pPr>
              <w:spacing w:after="0" w:before="0"/>
            </w:pPr>
            <w:r>
              <w:rPr>
                <w:sz w:val="14"/>
              </w:rPr>
              <w:t>build_nw_receptors_final.py</w:t>
            </w:r>
          </w:p>
        </w:tc>
        <w:tc>
          <w:tcPr>
            <w:tcW w:type="dxa" w:w="3402"/>
            <w:vAlign w:val="top"/>
          </w:tcPr>
          <w:p>
            <w:pPr>
              <w:spacing w:after="0" w:before="0"/>
            </w:pPr>
            <w:r>
              <w:rPr>
                <w:sz w:val="14"/>
              </w:rPr>
              <w:t>basins_final/nw_receptors_final.geojson</w:t>
            </w:r>
          </w:p>
        </w:tc>
        <w:tc>
          <w:tcPr>
            <w:tcW w:type="dxa" w:w="1984"/>
            <w:vAlign w:val="top"/>
          </w:tcPr>
          <w:p>
            <w:pPr>
              <w:spacing w:after="0" w:before="0"/>
            </w:pPr>
            <w:r>
              <w:rPr>
                <w:sz w:val="14"/>
              </w:rPr>
              <w:t>21/21 CLOSED</w:t>
            </w:r>
          </w:p>
        </w:tc>
      </w:tr>
      <w:tr>
        <w:trPr>
          <w:cantSplit w:val="true"/>
        </w:trPr>
        <w:tc>
          <w:tcPr>
            <w:tcW w:type="dxa" w:w="1928"/>
            <w:vAlign w:val="top"/>
          </w:tcPr>
          <w:p>
            <w:pPr>
              <w:spacing w:after="0" w:before="0"/>
            </w:pPr>
            <w:r>
              <w:rPr>
                <w:sz w:val="14"/>
              </w:rPr>
              <w:t>ERA5 evento 2000 download</w:t>
            </w:r>
          </w:p>
        </w:tc>
        <w:tc>
          <w:tcPr>
            <w:tcW w:type="dxa" w:w="2948"/>
            <w:vAlign w:val="top"/>
          </w:tcPr>
          <w:p>
            <w:pPr>
              <w:spacing w:after="0" w:before="0"/>
            </w:pPr>
            <w:r>
              <w:rPr>
                <w:sz w:val="14"/>
              </w:rPr>
              <w:t>download_era5_event_2000_nw_v2.py</w:t>
            </w:r>
          </w:p>
        </w:tc>
        <w:tc>
          <w:tcPr>
            <w:tcW w:type="dxa" w:w="3402"/>
            <w:vAlign w:val="top"/>
          </w:tcPr>
          <w:p>
            <w:pPr>
              <w:spacing w:after="0" w:before="0"/>
            </w:pPr>
            <w:r>
              <w:rPr>
                <w:sz w:val="14"/>
              </w:rPr>
              <w:t>era5/event_2000_10_nw_daily/</w:t>
            </w:r>
          </w:p>
        </w:tc>
        <w:tc>
          <w:tcPr>
            <w:tcW w:type="dxa" w:w="1984"/>
            <w:vAlign w:val="top"/>
          </w:tcPr>
          <w:p>
            <w:pPr>
              <w:spacing w:after="0" w:before="0"/>
            </w:pPr>
            <w:r>
              <w:rPr>
                <w:sz w:val="14"/>
              </w:rPr>
              <w:t>COMPLETATO</w:t>
            </w:r>
          </w:p>
        </w:tc>
      </w:tr>
      <w:tr>
        <w:trPr>
          <w:cantSplit w:val="true"/>
        </w:trPr>
        <w:tc>
          <w:tcPr>
            <w:tcW w:type="dxa" w:w="1928"/>
            <w:vAlign w:val="top"/>
          </w:tcPr>
          <w:p>
            <w:pPr>
              <w:spacing w:after="0" w:before="0"/>
            </w:pPr>
            <w:r>
              <w:rPr>
                <w:sz w:val="14"/>
              </w:rPr>
              <w:t>ERA5 evento 2000 analisi</w:t>
            </w:r>
          </w:p>
        </w:tc>
        <w:tc>
          <w:tcPr>
            <w:tcW w:type="dxa" w:w="2948"/>
            <w:vAlign w:val="top"/>
          </w:tcPr>
          <w:p>
            <w:pPr>
              <w:spacing w:after="0" w:before="0"/>
            </w:pPr>
            <w:r>
              <w:rPr>
                <w:sz w:val="14"/>
              </w:rPr>
              <w:t>analyse_era5_event_2000_nw_v2.py</w:t>
            </w:r>
          </w:p>
        </w:tc>
        <w:tc>
          <w:tcPr>
            <w:tcW w:type="dxa" w:w="3402"/>
            <w:vAlign w:val="top"/>
          </w:tcPr>
          <w:p>
            <w:pPr>
              <w:spacing w:after="0" w:before="0"/>
            </w:pPr>
            <w:r>
              <w:rPr>
                <w:sz w:val="14"/>
              </w:rPr>
              <w:t>era5_analysis/event_2000_10_nw/</w:t>
            </w:r>
          </w:p>
        </w:tc>
        <w:tc>
          <w:tcPr>
            <w:tcW w:type="dxa" w:w="1984"/>
            <w:vAlign w:val="top"/>
          </w:tcPr>
          <w:p>
            <w:pPr>
              <w:spacing w:after="0" w:before="0"/>
            </w:pPr>
            <w:r>
              <w:rPr>
                <w:sz w:val="14"/>
              </w:rPr>
              <w:t>COMPLETATO / QC</w:t>
            </w:r>
          </w:p>
        </w:tc>
      </w:tr>
      <w:tr>
        <w:trPr>
          <w:cantSplit w:val="true"/>
        </w:trPr>
        <w:tc>
          <w:tcPr>
            <w:tcW w:type="dxa" w:w="1928"/>
            <w:vAlign w:val="top"/>
          </w:tcPr>
          <w:p>
            <w:pPr>
              <w:spacing w:after="0" w:before="0"/>
            </w:pPr>
            <w:r>
              <w:rPr>
                <w:sz w:val="14"/>
              </w:rPr>
              <w:t>ERA5 storico</w:t>
            </w:r>
          </w:p>
        </w:tc>
        <w:tc>
          <w:tcPr>
            <w:tcW w:type="dxa" w:w="2948"/>
            <w:vAlign w:val="top"/>
          </w:tcPr>
          <w:p>
            <w:pPr>
              <w:spacing w:after="0" w:before="0"/>
            </w:pPr>
            <w:r>
              <w:rPr>
                <w:sz w:val="14"/>
              </w:rPr>
              <w:t>download_era5_historical_nw.py</w:t>
            </w:r>
          </w:p>
        </w:tc>
        <w:tc>
          <w:tcPr>
            <w:tcW w:type="dxa" w:w="3402"/>
            <w:vAlign w:val="top"/>
          </w:tcPr>
          <w:p>
            <w:pPr>
              <w:spacing w:after="0" w:before="0"/>
            </w:pPr>
            <w:r>
              <w:rPr>
                <w:sz w:val="14"/>
              </w:rPr>
              <w:t>era5_historical_nw/</w:t>
            </w:r>
          </w:p>
        </w:tc>
        <w:tc>
          <w:tcPr>
            <w:tcW w:type="dxa" w:w="1984"/>
            <w:vAlign w:val="top"/>
          </w:tcPr>
          <w:p>
            <w:pPr>
              <w:spacing w:after="0" w:before="0"/>
            </w:pPr>
            <w:r>
              <w:rPr>
                <w:sz w:val="14"/>
              </w:rPr>
              <w:t>CLOSED / PASS</w:t>
            </w:r>
          </w:p>
        </w:tc>
      </w:tr>
      <w:tr>
        <w:trPr>
          <w:cantSplit w:val="true"/>
        </w:trPr>
        <w:tc>
          <w:tcPr>
            <w:tcW w:type="dxa" w:w="1928"/>
            <w:vAlign w:val="top"/>
          </w:tcPr>
          <w:p>
            <w:pPr>
              <w:spacing w:after="0" w:before="0"/>
            </w:pPr>
            <w:r>
              <w:rPr>
                <w:sz w:val="14"/>
              </w:rPr>
              <w:t>ERA5 basin base</w:t>
            </w:r>
          </w:p>
        </w:tc>
        <w:tc>
          <w:tcPr>
            <w:tcW w:type="dxa" w:w="2948"/>
            <w:vAlign w:val="top"/>
          </w:tcPr>
          <w:p>
            <w:pPr>
              <w:spacing w:after="0" w:before="0"/>
            </w:pPr>
            <w:r>
              <w:rPr>
                <w:sz w:val="14"/>
              </w:rPr>
              <w:t>pipeline basin_features_historical_v1_0</w:t>
            </w:r>
          </w:p>
        </w:tc>
        <w:tc>
          <w:tcPr>
            <w:tcW w:type="dxa" w:w="3402"/>
            <w:vAlign w:val="top"/>
          </w:tcPr>
          <w:p>
            <w:pPr>
              <w:spacing w:after="0" w:before="0"/>
            </w:pPr>
            <w:r>
              <w:rPr>
                <w:sz w:val="14"/>
              </w:rPr>
              <w:t>era5_basin_features_daily_1987_2025_v1_0.csv</w:t>
            </w:r>
          </w:p>
        </w:tc>
        <w:tc>
          <w:tcPr>
            <w:tcW w:type="dxa" w:w="1984"/>
            <w:vAlign w:val="top"/>
          </w:tcPr>
          <w:p>
            <w:pPr>
              <w:spacing w:after="0" w:before="0"/>
            </w:pPr>
            <w:r>
              <w:rPr>
                <w:sz w:val="14"/>
              </w:rPr>
              <w:t>CLOSED</w:t>
            </w:r>
          </w:p>
        </w:tc>
      </w:tr>
      <w:tr>
        <w:trPr>
          <w:cantSplit w:val="true"/>
        </w:trPr>
        <w:tc>
          <w:tcPr>
            <w:tcW w:type="dxa" w:w="1928"/>
            <w:vAlign w:val="top"/>
          </w:tcPr>
          <w:p>
            <w:pPr>
              <w:spacing w:after="0" w:before="0"/>
            </w:pPr>
            <w:r>
              <w:rPr>
                <w:sz w:val="14"/>
              </w:rPr>
              <w:t>ERA5 derived</w:t>
            </w:r>
          </w:p>
        </w:tc>
        <w:tc>
          <w:tcPr>
            <w:tcW w:type="dxa" w:w="2948"/>
            <w:vAlign w:val="top"/>
          </w:tcPr>
          <w:p>
            <w:pPr>
              <w:spacing w:after="0" w:before="0"/>
            </w:pPr>
            <w:r>
              <w:rPr>
                <w:sz w:val="14"/>
              </w:rPr>
              <w:t>pipeline basin_features_derived_v1_0</w:t>
            </w:r>
          </w:p>
        </w:tc>
        <w:tc>
          <w:tcPr>
            <w:tcW w:type="dxa" w:w="3402"/>
            <w:vAlign w:val="top"/>
          </w:tcPr>
          <w:p>
            <w:pPr>
              <w:spacing w:after="0" w:before="0"/>
            </w:pPr>
            <w:r>
              <w:rPr>
                <w:sz w:val="14"/>
              </w:rPr>
              <w:t>era5_basin_features_daily_derived_1987_2025_v1_0.csv</w:t>
            </w:r>
          </w:p>
        </w:tc>
        <w:tc>
          <w:tcPr>
            <w:tcW w:type="dxa" w:w="1984"/>
            <w:vAlign w:val="top"/>
          </w:tcPr>
          <w:p>
            <w:pPr>
              <w:spacing w:after="0" w:before="0"/>
            </w:pPr>
            <w:r>
              <w:rPr>
                <w:sz w:val="14"/>
              </w:rPr>
              <w:t>CLOSED</w:t>
            </w:r>
          </w:p>
        </w:tc>
      </w:tr>
      <w:tr>
        <w:trPr>
          <w:cantSplit w:val="true"/>
        </w:trPr>
        <w:tc>
          <w:tcPr>
            <w:tcW w:type="dxa" w:w="1928"/>
            <w:vAlign w:val="top"/>
          </w:tcPr>
          <w:p>
            <w:pPr>
              <w:spacing w:after="0" w:before="0"/>
            </w:pPr>
            <w:r>
              <w:rPr>
                <w:sz w:val="14"/>
              </w:rPr>
              <w:t>MedSea–IVT coupling</w:t>
            </w:r>
          </w:p>
        </w:tc>
        <w:tc>
          <w:tcPr>
            <w:tcW w:type="dxa" w:w="2948"/>
            <w:vAlign w:val="top"/>
          </w:tcPr>
          <w:p>
            <w:pPr>
              <w:spacing w:after="0" w:before="0"/>
            </w:pPr>
            <w:r>
              <w:rPr>
                <w:sz w:val="14"/>
              </w:rPr>
              <w:t>canonical v1.2</w:t>
            </w:r>
          </w:p>
        </w:tc>
        <w:tc>
          <w:tcPr>
            <w:tcW w:type="dxa" w:w="3402"/>
            <w:vAlign w:val="top"/>
          </w:tcPr>
          <w:p>
            <w:pPr>
              <w:spacing w:after="0" w:before="0"/>
            </w:pPr>
            <w:r>
              <w:rPr>
                <w:sz w:val="14"/>
              </w:rPr>
              <w:t>medsea_ivt_basin_coupling_daily_1987_2025_canonical_v1_2.csv</w:t>
            </w:r>
          </w:p>
        </w:tc>
        <w:tc>
          <w:tcPr>
            <w:tcW w:type="dxa" w:w="1984"/>
            <w:vAlign w:val="top"/>
          </w:tcPr>
          <w:p>
            <w:pPr>
              <w:spacing w:after="0" w:before="0"/>
            </w:pPr>
            <w:r>
              <w:rPr>
                <w:sz w:val="14"/>
              </w:rPr>
              <w:t>CLOSED / CANONICAL</w:t>
            </w:r>
          </w:p>
        </w:tc>
      </w:tr>
      <w:tr>
        <w:trPr>
          <w:cantSplit w:val="true"/>
        </w:trPr>
        <w:tc>
          <w:tcPr>
            <w:tcW w:type="dxa" w:w="1928"/>
            <w:vAlign w:val="top"/>
          </w:tcPr>
          <w:p>
            <w:pPr>
              <w:spacing w:after="0" w:before="0"/>
            </w:pPr>
            <w:r>
              <w:rPr>
                <w:sz w:val="14"/>
              </w:rPr>
              <w:t>Obs registry temporale</w:t>
            </w:r>
          </w:p>
        </w:tc>
        <w:tc>
          <w:tcPr>
            <w:tcW w:type="dxa" w:w="2948"/>
            <w:vAlign w:val="top"/>
          </w:tcPr>
          <w:p>
            <w:pPr>
              <w:spacing w:after="0" w:before="0"/>
            </w:pPr>
            <w:r>
              <w:rPr>
                <w:sz w:val="14"/>
              </w:rPr>
              <w:t>registry v1.4</w:t>
            </w:r>
          </w:p>
        </w:tc>
        <w:tc>
          <w:tcPr>
            <w:tcW w:type="dxa" w:w="3402"/>
            <w:vAlign w:val="top"/>
          </w:tcPr>
          <w:p>
            <w:pPr>
              <w:spacing w:after="0" w:before="0"/>
            </w:pPr>
            <w:r>
              <w:rPr>
                <w:sz w:val="14"/>
              </w:rPr>
              <w:t>observation_series_registry_v1_4.csv</w:t>
            </w:r>
          </w:p>
        </w:tc>
        <w:tc>
          <w:tcPr>
            <w:tcW w:type="dxa" w:w="1984"/>
            <w:vAlign w:val="top"/>
          </w:tcPr>
          <w:p>
            <w:pPr>
              <w:spacing w:after="0" w:before="0"/>
            </w:pPr>
            <w:r>
              <w:rPr>
                <w:sz w:val="14"/>
              </w:rPr>
              <w:t>CLOSED</w:t>
            </w:r>
          </w:p>
        </w:tc>
      </w:tr>
      <w:tr>
        <w:trPr>
          <w:cantSplit w:val="true"/>
        </w:trPr>
        <w:tc>
          <w:tcPr>
            <w:tcW w:type="dxa" w:w="1928"/>
            <w:vAlign w:val="top"/>
          </w:tcPr>
          <w:p>
            <w:pPr>
              <w:spacing w:after="0" w:before="0"/>
            </w:pPr>
            <w:r>
              <w:rPr>
                <w:sz w:val="14"/>
              </w:rPr>
              <w:t>Obs valori</w:t>
            </w:r>
          </w:p>
        </w:tc>
        <w:tc>
          <w:tcPr>
            <w:tcW w:type="dxa" w:w="2948"/>
            <w:vAlign w:val="top"/>
          </w:tcPr>
          <w:p>
            <w:pPr>
              <w:spacing w:after="0" w:before="0"/>
            </w:pPr>
            <w:r>
              <w:rPr>
                <w:sz w:val="14"/>
              </w:rPr>
              <w:t>manifest v1.2</w:t>
            </w:r>
          </w:p>
        </w:tc>
        <w:tc>
          <w:tcPr>
            <w:tcW w:type="dxa" w:w="3402"/>
            <w:vAlign w:val="top"/>
          </w:tcPr>
          <w:p>
            <w:pPr>
              <w:spacing w:after="0" w:before="0"/>
            </w:pPr>
            <w:r>
              <w:rPr>
                <w:sz w:val="14"/>
              </w:rPr>
              <w:t>standardized_series_manifest_v1_2.csv</w:t>
            </w:r>
          </w:p>
        </w:tc>
        <w:tc>
          <w:tcPr>
            <w:tcW w:type="dxa" w:w="1984"/>
            <w:vAlign w:val="top"/>
          </w:tcPr>
          <w:p>
            <w:pPr>
              <w:spacing w:after="0" w:before="0"/>
            </w:pPr>
            <w:r>
              <w:rPr>
                <w:sz w:val="14"/>
              </w:rPr>
              <w:t>CLOSED / PASS</w:t>
            </w:r>
          </w:p>
        </w:tc>
      </w:tr>
      <w:tr>
        <w:trPr>
          <w:cantSplit w:val="true"/>
        </w:trPr>
        <w:tc>
          <w:tcPr>
            <w:tcW w:type="dxa" w:w="1928"/>
            <w:vAlign w:val="top"/>
          </w:tcPr>
          <w:p>
            <w:pPr>
              <w:spacing w:after="0" w:before="0"/>
            </w:pPr>
            <w:r>
              <w:rPr>
                <w:sz w:val="14"/>
              </w:rPr>
              <w:t>Obs layer giornaliero</w:t>
            </w:r>
          </w:p>
        </w:tc>
        <w:tc>
          <w:tcPr>
            <w:tcW w:type="dxa" w:w="2948"/>
            <w:vAlign w:val="top"/>
          </w:tcPr>
          <w:p>
            <w:pPr>
              <w:spacing w:after="0" w:before="0"/>
            </w:pPr>
            <w:r>
              <w:rPr>
                <w:sz w:val="14"/>
              </w:rPr>
              <w:t>build_nw_observation_daily_station_layer_v1_0.py</w:t>
            </w:r>
          </w:p>
        </w:tc>
        <w:tc>
          <w:tcPr>
            <w:tcW w:type="dxa" w:w="3402"/>
            <w:vAlign w:val="top"/>
          </w:tcPr>
          <w:p>
            <w:pPr>
              <w:spacing w:after="0" w:before="0"/>
            </w:pPr>
            <w:r>
              <w:rPr>
                <w:sz w:val="14"/>
              </w:rPr>
              <w:t>nw_observations_daily_v1_0/</w:t>
            </w:r>
          </w:p>
        </w:tc>
        <w:tc>
          <w:tcPr>
            <w:tcW w:type="dxa" w:w="1984"/>
            <w:vAlign w:val="top"/>
          </w:tcPr>
          <w:p>
            <w:pPr>
              <w:spacing w:after="0" w:before="0"/>
            </w:pPr>
            <w:r>
              <w:rPr>
                <w:sz w:val="14"/>
              </w:rPr>
              <w:t>CLOSED / PASS</w:t>
            </w:r>
          </w:p>
        </w:tc>
      </w:tr>
      <w:tr>
        <w:trPr>
          <w:cantSplit w:val="true"/>
        </w:trPr>
        <w:tc>
          <w:tcPr>
            <w:tcW w:type="dxa" w:w="1928"/>
            <w:vAlign w:val="top"/>
          </w:tcPr>
          <w:p>
            <w:pPr>
              <w:spacing w:after="0" w:before="0"/>
            </w:pPr>
            <w:r>
              <w:rPr>
                <w:sz w:val="14"/>
              </w:rPr>
              <w:t>Obs→basin mapping</w:t>
            </w:r>
          </w:p>
        </w:tc>
        <w:tc>
          <w:tcPr>
            <w:tcW w:type="dxa" w:w="2948"/>
            <w:vAlign w:val="top"/>
          </w:tcPr>
          <w:p>
            <w:pPr>
              <w:spacing w:after="0" w:before="0"/>
            </w:pPr>
            <w:r>
              <w:rPr>
                <w:sz w:val="14"/>
              </w:rPr>
              <w:t>mapping v1.3</w:t>
            </w:r>
          </w:p>
        </w:tc>
        <w:tc>
          <w:tcPr>
            <w:tcW w:type="dxa" w:w="3402"/>
            <w:vAlign w:val="top"/>
          </w:tcPr>
          <w:p>
            <w:pPr>
              <w:spacing w:after="0" w:before="0"/>
            </w:pPr>
            <w:r>
              <w:rPr>
                <w:sz w:val="14"/>
              </w:rPr>
              <w:t>nw_observations_basin_mapping_v1_3/</w:t>
            </w:r>
          </w:p>
        </w:tc>
        <w:tc>
          <w:tcPr>
            <w:tcW w:type="dxa" w:w="1984"/>
            <w:vAlign w:val="top"/>
          </w:tcPr>
          <w:p>
            <w:pPr>
              <w:spacing w:after="0" w:before="0"/>
            </w:pPr>
            <w:r>
              <w:rPr>
                <w:sz w:val="14"/>
              </w:rPr>
              <w:t>CLOSED / CANONICAL</w:t>
            </w:r>
          </w:p>
        </w:tc>
      </w:tr>
      <w:tr>
        <w:trPr>
          <w:cantSplit w:val="true"/>
        </w:trPr>
        <w:tc>
          <w:tcPr>
            <w:tcW w:type="dxa" w:w="1928"/>
            <w:vAlign w:val="top"/>
          </w:tcPr>
          <w:p>
            <w:pPr>
              <w:spacing w:after="0" w:before="0"/>
            </w:pPr>
            <w:r>
              <w:rPr>
                <w:sz w:val="14"/>
              </w:rPr>
              <w:t>Observed meteo basin</w:t>
            </w:r>
          </w:p>
        </w:tc>
        <w:tc>
          <w:tcPr>
            <w:tcW w:type="dxa" w:w="2948"/>
            <w:vAlign w:val="top"/>
          </w:tcPr>
          <w:p>
            <w:pPr>
              <w:spacing w:after="0" w:before="0"/>
            </w:pPr>
            <w:r>
              <w:rPr>
                <w:sz w:val="14"/>
              </w:rPr>
              <w:t>v1.0</w:t>
            </w:r>
          </w:p>
        </w:tc>
        <w:tc>
          <w:tcPr>
            <w:tcW w:type="dxa" w:w="3402"/>
            <w:vAlign w:val="top"/>
          </w:tcPr>
          <w:p>
            <w:pPr>
              <w:spacing w:after="0" w:before="0"/>
            </w:pPr>
            <w:r>
              <w:rPr>
                <w:sz w:val="14"/>
              </w:rPr>
              <w:t>observed_meteo_basin_daily_1987_2025_v1_0.csv</w:t>
            </w:r>
          </w:p>
        </w:tc>
        <w:tc>
          <w:tcPr>
            <w:tcW w:type="dxa" w:w="1984"/>
            <w:vAlign w:val="top"/>
          </w:tcPr>
          <w:p>
            <w:pPr>
              <w:spacing w:after="0" w:before="0"/>
            </w:pPr>
            <w:r>
              <w:rPr>
                <w:sz w:val="14"/>
              </w:rPr>
              <w:t>CLOSED / CANONICAL</w:t>
            </w:r>
          </w:p>
        </w:tc>
      </w:tr>
      <w:tr>
        <w:trPr>
          <w:cantSplit w:val="true"/>
        </w:trPr>
        <w:tc>
          <w:tcPr>
            <w:tcW w:type="dxa" w:w="1928"/>
            <w:vAlign w:val="top"/>
          </w:tcPr>
          <w:p>
            <w:pPr>
              <w:spacing w:after="0" w:before="0"/>
            </w:pPr>
            <w:r>
              <w:rPr>
                <w:sz w:val="14"/>
              </w:rPr>
              <w:t>Primary target network</w:t>
            </w:r>
          </w:p>
        </w:tc>
        <w:tc>
          <w:tcPr>
            <w:tcW w:type="dxa" w:w="2948"/>
            <w:vAlign w:val="top"/>
          </w:tcPr>
          <w:p>
            <w:pPr>
              <w:spacing w:after="0" w:before="0"/>
            </w:pPr>
            <w:r>
              <w:rPr>
                <w:sz w:val="14"/>
              </w:rPr>
              <w:t>v1.1</w:t>
            </w:r>
          </w:p>
        </w:tc>
        <w:tc>
          <w:tcPr>
            <w:tcW w:type="dxa" w:w="3402"/>
            <w:vAlign w:val="top"/>
          </w:tcPr>
          <w:p>
            <w:pPr>
              <w:spacing w:after="0" w:before="0"/>
            </w:pPr>
            <w:r>
              <w:rPr>
                <w:sz w:val="14"/>
              </w:rPr>
              <w:t>hydrological_primary_target_network_v1_1.csv</w:t>
            </w:r>
          </w:p>
        </w:tc>
        <w:tc>
          <w:tcPr>
            <w:tcW w:type="dxa" w:w="1984"/>
            <w:vAlign w:val="top"/>
          </w:tcPr>
          <w:p>
            <w:pPr>
              <w:spacing w:after="0" w:before="0"/>
            </w:pPr>
            <w:r>
              <w:rPr>
                <w:sz w:val="14"/>
              </w:rPr>
              <w:t>CLOSED / CANONICAL</w:t>
            </w:r>
          </w:p>
        </w:tc>
      </w:tr>
      <w:tr>
        <w:trPr>
          <w:cantSplit w:val="true"/>
        </w:trPr>
        <w:tc>
          <w:tcPr>
            <w:tcW w:type="dxa" w:w="1928"/>
            <w:vAlign w:val="top"/>
          </w:tcPr>
          <w:p>
            <w:pPr>
              <w:spacing w:after="0" w:before="0"/>
            </w:pPr>
            <w:r>
              <w:rPr>
                <w:sz w:val="14"/>
              </w:rPr>
              <w:t>Official threshold registry</w:t>
            </w:r>
          </w:p>
        </w:tc>
        <w:tc>
          <w:tcPr>
            <w:tcW w:type="dxa" w:w="2948"/>
            <w:vAlign w:val="top"/>
          </w:tcPr>
          <w:p>
            <w:pPr>
              <w:spacing w:after="0" w:before="0"/>
            </w:pPr>
            <w:r>
              <w:rPr>
                <w:sz w:val="14"/>
              </w:rPr>
              <w:t>v1.1</w:t>
            </w:r>
          </w:p>
        </w:tc>
        <w:tc>
          <w:tcPr>
            <w:tcW w:type="dxa" w:w="3402"/>
            <w:vAlign w:val="top"/>
          </w:tcPr>
          <w:p>
            <w:pPr>
              <w:spacing w:after="0" w:before="0"/>
            </w:pPr>
            <w:r>
              <w:rPr>
                <w:sz w:val="14"/>
              </w:rPr>
              <w:t>official_primary_threshold_registry_v1_1.csv</w:t>
            </w:r>
          </w:p>
        </w:tc>
        <w:tc>
          <w:tcPr>
            <w:tcW w:type="dxa" w:w="1984"/>
            <w:vAlign w:val="top"/>
          </w:tcPr>
          <w:p>
            <w:pPr>
              <w:spacing w:after="0" w:before="0"/>
            </w:pPr>
            <w:r>
              <w:rPr>
                <w:sz w:val="14"/>
              </w:rPr>
              <w:t>CLOSED / CANONICAL</w:t>
            </w:r>
          </w:p>
        </w:tc>
      </w:tr>
      <w:tr>
        <w:trPr>
          <w:cantSplit w:val="true"/>
        </w:trPr>
        <w:tc>
          <w:tcPr>
            <w:tcW w:type="dxa" w:w="1928"/>
            <w:vAlign w:val="top"/>
          </w:tcPr>
          <w:p>
            <w:pPr>
              <w:spacing w:after="0" w:before="0"/>
            </w:pPr>
            <w:r>
              <w:rPr>
                <w:sz w:val="14"/>
              </w:rPr>
              <w:t>Daily hydro target base</w:t>
            </w:r>
          </w:p>
        </w:tc>
        <w:tc>
          <w:tcPr>
            <w:tcW w:type="dxa" w:w="2948"/>
            <w:vAlign w:val="top"/>
          </w:tcPr>
          <w:p>
            <w:pPr>
              <w:spacing w:after="0" w:before="0"/>
            </w:pPr>
            <w:r>
              <w:rPr>
                <w:sz w:val="14"/>
              </w:rPr>
              <w:t>build_nw_primary_daily_hydrology_target_base_v1_0.py</w:t>
            </w:r>
          </w:p>
        </w:tc>
        <w:tc>
          <w:tcPr>
            <w:tcW w:type="dxa" w:w="3402"/>
            <w:vAlign w:val="top"/>
          </w:tcPr>
          <w:p>
            <w:pPr>
              <w:spacing w:after="0" w:before="0"/>
            </w:pPr>
            <w:r>
              <w:rPr>
                <w:sz w:val="14"/>
              </w:rPr>
              <w:t>nw_primary_daily_hydrology_target_base_1987_2025_v1_0.csv</w:t>
            </w:r>
          </w:p>
        </w:tc>
        <w:tc>
          <w:tcPr>
            <w:tcW w:type="dxa" w:w="1984"/>
            <w:vAlign w:val="top"/>
          </w:tcPr>
          <w:p>
            <w:pPr>
              <w:spacing w:after="0" w:before="0"/>
            </w:pPr>
            <w:r>
              <w:rPr>
                <w:sz w:val="14"/>
              </w:rPr>
              <w:t>CLOSED / CANONICAL</w:t>
            </w:r>
          </w:p>
        </w:tc>
      </w:tr>
      <w:tr>
        <w:trPr>
          <w:cantSplit w:val="true"/>
        </w:trPr>
        <w:tc>
          <w:tcPr>
            <w:tcW w:type="dxa" w:w="1928"/>
            <w:vAlign w:val="top"/>
          </w:tcPr>
          <w:p>
            <w:pPr>
              <w:spacing w:after="0" w:before="0"/>
            </w:pPr>
            <w:r>
              <w:rPr>
                <w:sz w:val="14"/>
              </w:rPr>
              <w:t>Modeling labels</w:t>
            </w:r>
          </w:p>
        </w:tc>
        <w:tc>
          <w:tcPr>
            <w:tcW w:type="dxa" w:w="2948"/>
            <w:vAlign w:val="top"/>
          </w:tcPr>
          <w:p>
            <w:pPr>
              <w:spacing w:after="0" w:before="0"/>
            </w:pPr>
            <w:r>
              <w:rPr>
                <w:sz w:val="14"/>
              </w:rPr>
              <w:t>build_nw_foldwise_q95_modeling_labels_canonical_v1_3.py</w:t>
            </w:r>
          </w:p>
        </w:tc>
        <w:tc>
          <w:tcPr>
            <w:tcW w:type="dxa" w:w="3402"/>
            <w:vAlign w:val="top"/>
          </w:tcPr>
          <w:p>
            <w:pPr>
              <w:spacing w:after="0" w:before="0"/>
            </w:pPr>
            <w:r>
              <w:rPr>
                <w:sz w:val="14"/>
              </w:rPr>
              <w:t>foldwise_q95_modeling_labels_canonical_v1_3.csv</w:t>
            </w:r>
          </w:p>
        </w:tc>
        <w:tc>
          <w:tcPr>
            <w:tcW w:type="dxa" w:w="1984"/>
            <w:vAlign w:val="top"/>
          </w:tcPr>
          <w:p>
            <w:pPr>
              <w:spacing w:after="0" w:before="0"/>
            </w:pPr>
            <w:r>
              <w:rPr>
                <w:sz w:val="14"/>
              </w:rPr>
              <w:t>CLOSED / CANONICAL</w:t>
            </w:r>
          </w:p>
        </w:tc>
      </w:tr>
      <w:tr>
        <w:trPr>
          <w:cantSplit w:val="true"/>
        </w:trPr>
        <w:tc>
          <w:tcPr>
            <w:tcW w:type="dxa" w:w="1928"/>
            <w:vAlign w:val="top"/>
          </w:tcPr>
          <w:p>
            <w:pPr>
              <w:spacing w:after="0" w:before="0"/>
            </w:pPr>
            <w:r>
              <w:rPr>
                <w:sz w:val="14"/>
              </w:rPr>
              <w:t>Dynamic whitelist</w:t>
            </w:r>
          </w:p>
        </w:tc>
        <w:tc>
          <w:tcPr>
            <w:tcW w:type="dxa" w:w="2948"/>
            <w:vAlign w:val="top"/>
          </w:tcPr>
          <w:p>
            <w:pPr>
              <w:spacing w:after="0" w:before="0"/>
            </w:pPr>
            <w:r>
              <w:rPr>
                <w:sz w:val="14"/>
              </w:rPr>
              <w:t>freeze_nw_dynamic_causal_feature_whitelist_v1_3.py</w:t>
            </w:r>
          </w:p>
        </w:tc>
        <w:tc>
          <w:tcPr>
            <w:tcW w:type="dxa" w:w="3402"/>
            <w:vAlign w:val="top"/>
          </w:tcPr>
          <w:p>
            <w:pPr>
              <w:spacing w:after="0" w:before="0"/>
            </w:pPr>
            <w:r>
              <w:rPr>
                <w:sz w:val="14"/>
              </w:rPr>
              <w:t>primary_dynamic_feature_whitelist_canonical_v1_3.csv</w:t>
            </w:r>
          </w:p>
        </w:tc>
        <w:tc>
          <w:tcPr>
            <w:tcW w:type="dxa" w:w="1984"/>
            <w:vAlign w:val="top"/>
          </w:tcPr>
          <w:p>
            <w:pPr>
              <w:spacing w:after="0" w:before="0"/>
            </w:pPr>
            <w:r>
              <w:rPr>
                <w:sz w:val="14"/>
              </w:rPr>
              <w:t>CLOSED / CANONICAL</w:t>
            </w:r>
          </w:p>
        </w:tc>
      </w:tr>
      <w:tr>
        <w:trPr>
          <w:cantSplit w:val="true"/>
        </w:trPr>
        <w:tc>
          <w:tcPr>
            <w:tcW w:type="dxa" w:w="1928"/>
            <w:vAlign w:val="top"/>
          </w:tcPr>
          <w:p>
            <w:pPr>
              <w:spacing w:after="0" w:before="0"/>
            </w:pPr>
            <w:r>
              <w:rPr>
                <w:sz w:val="14"/>
              </w:rPr>
              <w:t>Static descriptors preflight</w:t>
            </w:r>
          </w:p>
        </w:tc>
        <w:tc>
          <w:tcPr>
            <w:tcW w:type="dxa" w:w="2948"/>
            <w:vAlign w:val="top"/>
          </w:tcPr>
          <w:p>
            <w:pPr>
              <w:spacing w:after="0" w:before="0"/>
            </w:pPr>
            <w:r>
              <w:rPr>
                <w:sz w:val="14"/>
              </w:rPr>
              <w:t>preflight_nw_static_receptor_descriptors_v1_0.py</w:t>
            </w:r>
          </w:p>
        </w:tc>
        <w:tc>
          <w:tcPr>
            <w:tcW w:type="dxa" w:w="3402"/>
            <w:vAlign w:val="top"/>
          </w:tcPr>
          <w:p>
            <w:pPr>
              <w:spacing w:after="0" w:before="0"/>
            </w:pPr>
            <w:r>
              <w:rPr>
                <w:sz w:val="14"/>
              </w:rPr>
              <w:t>static_receptor_descriptors_v1_0.csv</w:t>
            </w:r>
          </w:p>
        </w:tc>
        <w:tc>
          <w:tcPr>
            <w:tcW w:type="dxa" w:w="1984"/>
            <w:vAlign w:val="top"/>
          </w:tcPr>
          <w:p>
            <w:pPr>
              <w:spacing w:after="0" w:before="0"/>
            </w:pPr>
            <w:r>
              <w:rPr>
                <w:sz w:val="14"/>
              </w:rPr>
              <w:t>PASS</w:t>
            </w:r>
          </w:p>
        </w:tc>
      </w:tr>
      <w:tr>
        <w:trPr>
          <w:cantSplit w:val="true"/>
        </w:trPr>
        <w:tc>
          <w:tcPr>
            <w:tcW w:type="dxa" w:w="1928"/>
            <w:vAlign w:val="top"/>
          </w:tcPr>
          <w:p>
            <w:pPr>
              <w:spacing w:after="0" w:before="0"/>
            </w:pPr>
            <w:r>
              <w:rPr>
                <w:sz w:val="14"/>
              </w:rPr>
              <w:t>Static whitelist</w:t>
            </w:r>
          </w:p>
        </w:tc>
        <w:tc>
          <w:tcPr>
            <w:tcW w:type="dxa" w:w="2948"/>
            <w:vAlign w:val="top"/>
          </w:tcPr>
          <w:p>
            <w:pPr>
              <w:spacing w:after="0" w:before="0"/>
            </w:pPr>
            <w:r>
              <w:rPr>
                <w:sz w:val="14"/>
              </w:rPr>
              <w:t>freeze_nw_static_receptor_descriptor_whitelist_v1_1.py</w:t>
            </w:r>
          </w:p>
        </w:tc>
        <w:tc>
          <w:tcPr>
            <w:tcW w:type="dxa" w:w="3402"/>
            <w:vAlign w:val="top"/>
          </w:tcPr>
          <w:p>
            <w:pPr>
              <w:spacing w:after="0" w:before="0"/>
            </w:pPr>
            <w:r>
              <w:rPr>
                <w:sz w:val="14"/>
              </w:rPr>
              <w:t>static_receptor_descriptor_whitelist_canonical_v1_1.csv</w:t>
            </w:r>
          </w:p>
        </w:tc>
        <w:tc>
          <w:tcPr>
            <w:tcW w:type="dxa" w:w="1984"/>
            <w:vAlign w:val="top"/>
          </w:tcPr>
          <w:p>
            <w:pPr>
              <w:spacing w:after="0" w:before="0"/>
            </w:pPr>
            <w:r>
              <w:rPr>
                <w:sz w:val="14"/>
              </w:rPr>
              <w:t>CLOSED / CANONICAL</w:t>
            </w:r>
          </w:p>
        </w:tc>
      </w:tr>
      <w:tr>
        <w:trPr>
          <w:cantSplit w:val="true"/>
        </w:trPr>
        <w:tc>
          <w:tcPr>
            <w:tcW w:type="dxa" w:w="1928"/>
            <w:vAlign w:val="top"/>
          </w:tcPr>
          <w:p>
            <w:pPr>
              <w:spacing w:after="0" w:before="0"/>
            </w:pPr>
            <w:r>
              <w:rPr>
                <w:sz w:val="14"/>
              </w:rPr>
              <w:t>Master CORE</w:t>
            </w:r>
          </w:p>
        </w:tc>
        <w:tc>
          <w:tcPr>
            <w:tcW w:type="dxa" w:w="2948"/>
            <w:vAlign w:val="top"/>
          </w:tcPr>
          <w:p>
            <w:pPr>
              <w:spacing w:after="0" w:before="0"/>
            </w:pPr>
            <w:r>
              <w:rPr>
                <w:sz w:val="14"/>
              </w:rPr>
              <w:t>build_nw_hydroclimate_foldwise_master_core_v1_0.py</w:t>
            </w:r>
          </w:p>
        </w:tc>
        <w:tc>
          <w:tcPr>
            <w:tcW w:type="dxa" w:w="3402"/>
            <w:vAlign w:val="top"/>
          </w:tcPr>
          <w:p>
            <w:pPr>
              <w:spacing w:after="0" w:before="0"/>
            </w:pPr>
            <w:r>
              <w:rPr>
                <w:sz w:val="14"/>
              </w:rPr>
              <w:t>nw_hydroclimate_foldwise_master_core_v1_0.parquet</w:t>
            </w:r>
          </w:p>
        </w:tc>
        <w:tc>
          <w:tcPr>
            <w:tcW w:type="dxa" w:w="1984"/>
            <w:vAlign w:val="top"/>
          </w:tcPr>
          <w:p>
            <w:pPr>
              <w:spacing w:after="0" w:before="0"/>
            </w:pPr>
            <w:r>
              <w:rPr>
                <w:sz w:val="14"/>
              </w:rPr>
              <w:t>CLOSED / CANONICAL</w:t>
            </w:r>
          </w:p>
        </w:tc>
      </w:tr>
      <w:tr>
        <w:trPr>
          <w:cantSplit w:val="true"/>
        </w:trPr>
        <w:tc>
          <w:tcPr>
            <w:tcW w:type="dxa" w:w="1928"/>
            <w:vAlign w:val="top"/>
          </w:tcPr>
          <w:p>
            <w:pPr>
              <w:spacing w:after="0" w:before="0"/>
            </w:pPr>
            <w:r>
              <w:rPr>
                <w:sz w:val="14"/>
              </w:rPr>
              <w:t>Model preflight</w:t>
            </w:r>
          </w:p>
        </w:tc>
        <w:tc>
          <w:tcPr>
            <w:tcW w:type="dxa" w:w="2948"/>
            <w:vAlign w:val="top"/>
          </w:tcPr>
          <w:p>
            <w:pPr>
              <w:spacing w:after="0" w:before="0"/>
            </w:pPr>
            <w:r>
              <w:rPr>
                <w:sz w:val="14"/>
              </w:rPr>
              <w:t>preflight_nw_flood_modeling_protocol_v1_0.py</w:t>
            </w:r>
          </w:p>
        </w:tc>
        <w:tc>
          <w:tcPr>
            <w:tcW w:type="dxa" w:w="3402"/>
            <w:vAlign w:val="top"/>
          </w:tcPr>
          <w:p>
            <w:pPr>
              <w:spacing w:after="0" w:before="0"/>
            </w:pPr>
            <w:r>
              <w:rPr>
                <w:sz w:val="14"/>
              </w:rPr>
              <w:t>nw_flood_modeling_protocol_preflight_v1_0/</w:t>
            </w:r>
          </w:p>
        </w:tc>
        <w:tc>
          <w:tcPr>
            <w:tcW w:type="dxa" w:w="1984"/>
            <w:vAlign w:val="top"/>
          </w:tcPr>
          <w:p>
            <w:pPr>
              <w:spacing w:after="0" w:before="0"/>
            </w:pPr>
            <w:r>
              <w:rPr>
                <w:sz w:val="14"/>
              </w:rPr>
              <w:t>PASS</w:t>
            </w:r>
          </w:p>
        </w:tc>
      </w:tr>
      <w:tr>
        <w:trPr>
          <w:cantSplit w:val="true"/>
        </w:trPr>
        <w:tc>
          <w:tcPr>
            <w:tcW w:type="dxa" w:w="1928"/>
            <w:vAlign w:val="top"/>
          </w:tcPr>
          <w:p>
            <w:pPr>
              <w:spacing w:after="0" w:before="0"/>
            </w:pPr>
            <w:r>
              <w:rPr>
                <w:sz w:val="14"/>
              </w:rPr>
              <w:t>Validation benchmark</w:t>
            </w:r>
          </w:p>
        </w:tc>
        <w:tc>
          <w:tcPr>
            <w:tcW w:type="dxa" w:w="2948"/>
            <w:vAlign w:val="top"/>
          </w:tcPr>
          <w:p>
            <w:pPr>
              <w:spacing w:after="0" w:before="0"/>
            </w:pPr>
            <w:r>
              <w:rPr>
                <w:sz w:val="14"/>
              </w:rPr>
              <w:t>benchmark_nw_flood_models_validation_only_v1_1.py</w:t>
            </w:r>
          </w:p>
        </w:tc>
        <w:tc>
          <w:tcPr>
            <w:tcW w:type="dxa" w:w="3402"/>
            <w:vAlign w:val="top"/>
          </w:tcPr>
          <w:p>
            <w:pPr>
              <w:spacing w:after="0" w:before="0"/>
            </w:pPr>
            <w:r>
              <w:rPr>
                <w:sz w:val="14"/>
              </w:rPr>
              <w:t>nw_flood_model_validation_benchmark_v1_1/</w:t>
            </w:r>
          </w:p>
        </w:tc>
        <w:tc>
          <w:tcPr>
            <w:tcW w:type="dxa" w:w="1984"/>
            <w:vAlign w:val="top"/>
          </w:tcPr>
          <w:p>
            <w:pPr>
              <w:spacing w:after="0" w:before="0"/>
            </w:pPr>
            <w:r>
              <w:rPr>
                <w:sz w:val="14"/>
              </w:rPr>
              <w:t>PASS / TEST untouched</w:t>
            </w:r>
          </w:p>
        </w:tc>
      </w:tr>
      <w:tr>
        <w:trPr>
          <w:cantSplit w:val="true"/>
        </w:trPr>
        <w:tc>
          <w:tcPr>
            <w:tcW w:type="dxa" w:w="1928"/>
            <w:vAlign w:val="top"/>
          </w:tcPr>
          <w:p>
            <w:pPr>
              <w:spacing w:after="0" w:before="0"/>
            </w:pPr>
            <w:r>
              <w:rPr>
                <w:sz w:val="14"/>
              </w:rPr>
              <w:t>Model freeze/calibration</w:t>
            </w:r>
          </w:p>
        </w:tc>
        <w:tc>
          <w:tcPr>
            <w:tcW w:type="dxa" w:w="2948"/>
            <w:vAlign w:val="top"/>
          </w:tcPr>
          <w:p>
            <w:pPr>
              <w:spacing w:after="0" w:before="0"/>
            </w:pPr>
            <w:r>
              <w:rPr>
                <w:sz w:val="14"/>
              </w:rPr>
              <w:t>freeze_nw_flood_models_and_calibration_v1_2.py</w:t>
            </w:r>
          </w:p>
        </w:tc>
        <w:tc>
          <w:tcPr>
            <w:tcW w:type="dxa" w:w="3402"/>
            <w:vAlign w:val="top"/>
          </w:tcPr>
          <w:p>
            <w:pPr>
              <w:spacing w:after="0" w:before="0"/>
            </w:pPr>
            <w:r>
              <w:rPr>
                <w:sz w:val="14"/>
              </w:rPr>
              <w:t>nw_flood_models_frozen_development_v1_2/</w:t>
            </w:r>
          </w:p>
        </w:tc>
        <w:tc>
          <w:tcPr>
            <w:tcW w:type="dxa" w:w="1984"/>
            <w:vAlign w:val="top"/>
          </w:tcPr>
          <w:p>
            <w:pPr>
              <w:spacing w:after="0" w:before="0"/>
            </w:pPr>
            <w:r>
              <w:rPr>
                <w:sz w:val="14"/>
              </w:rPr>
              <w:t>CLOSED / FROZEN</w:t>
            </w:r>
          </w:p>
        </w:tc>
      </w:tr>
      <w:tr>
        <w:trPr>
          <w:cantSplit w:val="true"/>
        </w:trPr>
        <w:tc>
          <w:tcPr>
            <w:tcW w:type="dxa" w:w="1928"/>
            <w:vAlign w:val="top"/>
          </w:tcPr>
          <w:p>
            <w:pPr>
              <w:spacing w:after="0" w:before="0"/>
            </w:pPr>
            <w:r>
              <w:rPr>
                <w:sz w:val="14"/>
              </w:rPr>
              <w:t>Final holdout</w:t>
            </w:r>
          </w:p>
        </w:tc>
        <w:tc>
          <w:tcPr>
            <w:tcW w:type="dxa" w:w="2948"/>
            <w:vAlign w:val="top"/>
          </w:tcPr>
          <w:p>
            <w:pPr>
              <w:spacing w:after="0" w:before="0"/>
            </w:pPr>
            <w:r>
              <w:rPr>
                <w:sz w:val="14"/>
              </w:rPr>
              <w:t>evaluate_nw_flood_models_final_holdout_v1_0.py</w:t>
            </w:r>
          </w:p>
        </w:tc>
        <w:tc>
          <w:tcPr>
            <w:tcW w:type="dxa" w:w="3402"/>
            <w:vAlign w:val="top"/>
          </w:tcPr>
          <w:p>
            <w:pPr>
              <w:spacing w:after="0" w:before="0"/>
            </w:pPr>
            <w:r>
              <w:rPr>
                <w:sz w:val="14"/>
              </w:rPr>
              <w:t>nw_flood_model_final_holdout_evaluation_v1_0/</w:t>
            </w:r>
          </w:p>
        </w:tc>
        <w:tc>
          <w:tcPr>
            <w:tcW w:type="dxa" w:w="1984"/>
            <w:vAlign w:val="top"/>
          </w:tcPr>
          <w:p>
            <w:pPr>
              <w:spacing w:after="0" w:before="0"/>
            </w:pPr>
            <w:r>
              <w:rPr>
                <w:sz w:val="14"/>
              </w:rPr>
              <w:t>FINAL / no further tuning</w:t>
            </w:r>
          </w:p>
        </w:tc>
      </w:tr>
      <w:tr>
        <w:trPr>
          <w:cantSplit w:val="true"/>
        </w:trPr>
        <w:tc>
          <w:tcPr>
            <w:tcW w:type="dxa" w:w="1928"/>
            <w:vAlign w:val="top"/>
          </w:tcPr>
          <w:p>
            <w:pPr>
              <w:spacing w:after="0" w:before="0"/>
            </w:pPr>
            <w:r>
              <w:rPr>
                <w:sz w:val="14"/>
              </w:rPr>
              <w:t>GLoFAS audit Tanaro–Arroscia</w:t>
            </w:r>
          </w:p>
        </w:tc>
        <w:tc>
          <w:tcPr>
            <w:tcW w:type="dxa" w:w="2948"/>
            <w:vAlign w:val="top"/>
          </w:tcPr>
          <w:p>
            <w:pPr>
              <w:spacing w:after="0" w:before="0"/>
            </w:pPr>
            <w:r>
              <w:rPr>
                <w:sz w:val="14"/>
              </w:rPr>
              <w:t>audit_tanaro_arroscia_glofas_v1_2.py</w:t>
            </w:r>
          </w:p>
        </w:tc>
        <w:tc>
          <w:tcPr>
            <w:tcW w:type="dxa" w:w="3402"/>
            <w:vAlign w:val="top"/>
          </w:tcPr>
          <w:p>
            <w:pPr>
              <w:spacing w:after="0" w:before="0"/>
            </w:pPr>
            <w:r>
              <w:rPr>
                <w:sz w:val="14"/>
              </w:rPr>
              <w:t>tanaro_arroscia/audit/glofas_v1_2/</w:t>
            </w:r>
          </w:p>
        </w:tc>
        <w:tc>
          <w:tcPr>
            <w:tcW w:type="dxa" w:w="1984"/>
            <w:vAlign w:val="top"/>
          </w:tcPr>
          <w:p>
            <w:pPr>
              <w:spacing w:after="0" w:before="0"/>
            </w:pPr>
            <w:r>
              <w:rPr>
                <w:sz w:val="14"/>
              </w:rPr>
              <w:t>CLOSED</w:t>
            </w:r>
          </w:p>
        </w:tc>
      </w:tr>
    </w:tbl>
    <w:p/>
    <w:p>
      <w:pPr>
        <w:pStyle w:val="Heading1"/>
      </w:pPr>
      <w:r>
        <w:t>17. Artefatti diagnostici/superati da non usare come canonici</w:t>
      </w:r>
    </w:p>
    <w:p>
      <w:r>
        <w:t>Il percorso ha incluso diversi preflight utili a scoprire problemi metodologici. Devono essere conservati come traccia di audit, ma non usati come fonte finale.</w:t>
      </w:r>
    </w:p>
    <w:tbl>
      <w:tblPr>
        <w:tblStyle w:val="TableGrid"/>
        <w:tblW w:type="auto" w:w="0"/>
        <w:jc w:val="center"/>
        <w:tblLook w:firstColumn="1" w:firstRow="1" w:lastColumn="0" w:lastRow="0" w:noHBand="0" w:noVBand="1" w:val="04A0"/>
      </w:tblPr>
      <w:tblGrid>
        <w:gridCol w:w="4929"/>
        <w:gridCol w:w="4929"/>
      </w:tblGrid>
      <w:tr>
        <w:trPr>
          <w:tblHeader w:val="true"/>
          <w:cantSplit w:val="true"/>
        </w:trPr>
        <w:tc>
          <w:tcPr>
            <w:tcW w:type="dxa" w:w="3402"/>
            <w:shd w:fill="D9EAF7"/>
            <w:vAlign w:val="center"/>
          </w:tcPr>
          <w:p>
            <w:pPr>
              <w:jc w:val="center"/>
            </w:pPr>
            <w:r>
              <w:rPr>
                <w:b/>
                <w:sz w:val="16"/>
              </w:rPr>
              <w:t>Artefatto</w:t>
            </w:r>
          </w:p>
        </w:tc>
        <w:tc>
          <w:tcPr>
            <w:tcW w:type="dxa" w:w="6236"/>
            <w:shd w:fill="D9EAF7"/>
            <w:vAlign w:val="center"/>
          </w:tcPr>
          <w:p>
            <w:pPr>
              <w:jc w:val="center"/>
            </w:pPr>
            <w:r>
              <w:rPr>
                <w:b/>
                <w:sz w:val="16"/>
              </w:rPr>
              <w:t>Motivo per cui non è canonico</w:t>
            </w:r>
          </w:p>
        </w:tc>
      </w:tr>
      <w:tr>
        <w:trPr>
          <w:cantSplit w:val="true"/>
        </w:trPr>
        <w:tc>
          <w:tcPr>
            <w:tcW w:type="dxa" w:w="3402"/>
            <w:vAlign w:val="top"/>
          </w:tcPr>
          <w:p>
            <w:pPr>
              <w:spacing w:after="0" w:before="0"/>
            </w:pPr>
            <w:r>
              <w:rPr>
                <w:sz w:val="16"/>
              </w:rPr>
              <w:t>Threshold numeric candidate extraction v1.2 / review v1.3</w:t>
            </w:r>
          </w:p>
        </w:tc>
        <w:tc>
          <w:tcPr>
            <w:tcW w:type="dxa" w:w="6236"/>
            <w:vAlign w:val="top"/>
          </w:tcPr>
          <w:p>
            <w:pPr>
              <w:spacing w:after="0" w:before="0"/>
            </w:pPr>
            <w:r>
              <w:rPr>
                <w:sz w:val="16"/>
              </w:rPr>
              <w:t>Pipeline locale numerica sovrainclusiva e contaminata da valori osservativi; non usare soglie estratte come registry ufficiale.</w:t>
            </w:r>
          </w:p>
        </w:tc>
      </w:tr>
      <w:tr>
        <w:trPr>
          <w:cantSplit w:val="true"/>
        </w:trPr>
        <w:tc>
          <w:tcPr>
            <w:tcW w:type="dxa" w:w="3402"/>
            <w:vAlign w:val="top"/>
          </w:tcPr>
          <w:p>
            <w:pPr>
              <w:spacing w:after="0" w:before="0"/>
            </w:pPr>
            <w:r>
              <w:rPr>
                <w:sz w:val="16"/>
              </w:rPr>
              <w:t>Threshold dual-family review v1.4</w:t>
            </w:r>
          </w:p>
        </w:tc>
        <w:tc>
          <w:tcPr>
            <w:tcW w:type="dxa" w:w="6236"/>
            <w:vAlign w:val="top"/>
          </w:tcPr>
          <w:p>
            <w:pPr>
              <w:spacing w:after="0" w:before="0"/>
            </w:pPr>
            <w:r>
              <w:rPr>
                <w:sz w:val="16"/>
              </w:rPr>
              <w:t>Diagnostico; non sostituisce il registry ufficiale v1.1.</w:t>
            </w:r>
          </w:p>
        </w:tc>
      </w:tr>
      <w:tr>
        <w:trPr>
          <w:cantSplit w:val="true"/>
        </w:trPr>
        <w:tc>
          <w:tcPr>
            <w:tcW w:type="dxa" w:w="3402"/>
            <w:vAlign w:val="top"/>
          </w:tcPr>
          <w:p>
            <w:pPr>
              <w:spacing w:after="0" w:before="0"/>
            </w:pPr>
            <w:r>
              <w:rPr>
                <w:sz w:val="16"/>
              </w:rPr>
              <w:t>Primary threshold worklist v1.0</w:t>
            </w:r>
          </w:p>
        </w:tc>
        <w:tc>
          <w:tcPr>
            <w:tcW w:type="dxa" w:w="6236"/>
            <w:vAlign w:val="top"/>
          </w:tcPr>
          <w:p>
            <w:pPr>
              <w:spacing w:after="0" w:before="0"/>
            </w:pPr>
            <w:r>
              <w:rPr>
                <w:sz w:val="16"/>
              </w:rPr>
              <w:t>Candidati locali inquinati; non canonico.</w:t>
            </w:r>
          </w:p>
        </w:tc>
      </w:tr>
      <w:tr>
        <w:trPr>
          <w:cantSplit w:val="true"/>
        </w:trPr>
        <w:tc>
          <w:tcPr>
            <w:tcW w:type="dxa" w:w="3402"/>
            <w:vAlign w:val="top"/>
          </w:tcPr>
          <w:p>
            <w:pPr>
              <w:spacing w:after="0" w:before="0"/>
            </w:pPr>
            <w:r>
              <w:rPr>
                <w:sz w:val="16"/>
              </w:rPr>
              <w:t>Observation alignment v1.0</w:t>
            </w:r>
          </w:p>
        </w:tc>
        <w:tc>
          <w:tcPr>
            <w:tcW w:type="dxa" w:w="6236"/>
            <w:vAlign w:val="top"/>
          </w:tcPr>
          <w:p>
            <w:pPr>
              <w:spacing w:after="0" w:before="0"/>
            </w:pPr>
            <w:r>
              <w:rPr>
                <w:sz w:val="16"/>
              </w:rPr>
              <w:t>Fallito immediatamente per schema variable_codes; nessun dato scientifico modificato.</w:t>
            </w:r>
          </w:p>
        </w:tc>
      </w:tr>
      <w:tr>
        <w:trPr>
          <w:cantSplit w:val="true"/>
        </w:trPr>
        <w:tc>
          <w:tcPr>
            <w:tcW w:type="dxa" w:w="3402"/>
            <w:vAlign w:val="top"/>
          </w:tcPr>
          <w:p>
            <w:pPr>
              <w:spacing w:after="0" w:before="0"/>
            </w:pPr>
            <w:r>
              <w:rPr>
                <w:sz w:val="16"/>
              </w:rPr>
              <w:t>Piemonte peak/retrieval screening v1.0</w:t>
            </w:r>
          </w:p>
        </w:tc>
        <w:tc>
          <w:tcPr>
            <w:tcW w:type="dxa" w:w="6236"/>
            <w:vAlign w:val="top"/>
          </w:tcPr>
          <w:p>
            <w:pPr>
              <w:spacing w:after="0" w:before="0"/>
            </w:pPr>
            <w:r>
              <w:rPr>
                <w:sz w:val="16"/>
              </w:rPr>
              <w:t>Diagnostico; percorso di 584 richieste manuali abbandonato perché il servizio orario fornisce livello e non portata storica diretta.</w:t>
            </w:r>
          </w:p>
        </w:tc>
      </w:tr>
      <w:tr>
        <w:trPr>
          <w:cantSplit w:val="true"/>
        </w:trPr>
        <w:tc>
          <w:tcPr>
            <w:tcW w:type="dxa" w:w="3402"/>
            <w:vAlign w:val="top"/>
          </w:tcPr>
          <w:p>
            <w:pPr>
              <w:spacing w:after="0" w:before="0"/>
            </w:pPr>
            <w:r>
              <w:rPr>
                <w:sz w:val="16"/>
              </w:rPr>
              <w:t>Foldwise label preflight v1.0</w:t>
            </w:r>
          </w:p>
        </w:tc>
        <w:tc>
          <w:tcPr>
            <w:tcW w:type="dxa" w:w="6236"/>
            <w:vAlign w:val="top"/>
          </w:tcPr>
          <w:p>
            <w:pPr>
              <w:spacing w:after="0" w:before="0"/>
            </w:pPr>
            <w:r>
              <w:rPr>
                <w:sz w:val="16"/>
              </w:rPr>
              <w:t>Non canonico: early-fold support insufficiente e bug missing-future.</w:t>
            </w:r>
          </w:p>
        </w:tc>
      </w:tr>
      <w:tr>
        <w:trPr>
          <w:cantSplit w:val="true"/>
        </w:trPr>
        <w:tc>
          <w:tcPr>
            <w:tcW w:type="dxa" w:w="3402"/>
            <w:vAlign w:val="top"/>
          </w:tcPr>
          <w:p>
            <w:pPr>
              <w:spacing w:after="0" w:before="0"/>
            </w:pPr>
            <w:r>
              <w:rPr>
                <w:sz w:val="16"/>
              </w:rPr>
              <w:t>Foldwise label preflight v1.1</w:t>
            </w:r>
          </w:p>
        </w:tc>
        <w:tc>
          <w:tcPr>
            <w:tcW w:type="dxa" w:w="6236"/>
            <w:vAlign w:val="top"/>
          </w:tcPr>
          <w:p>
            <w:pPr>
              <w:spacing w:after="0" w:before="0"/>
            </w:pPr>
            <w:r>
              <w:rPr>
                <w:sz w:val="16"/>
              </w:rPr>
              <w:t>Preflight corretto ma non artifact finale; policy poi congelata v1.2 e modeling labels estese v1.3.</w:t>
            </w:r>
          </w:p>
        </w:tc>
      </w:tr>
      <w:tr>
        <w:trPr>
          <w:cantSplit w:val="true"/>
        </w:trPr>
        <w:tc>
          <w:tcPr>
            <w:tcW w:type="dxa" w:w="3402"/>
            <w:vAlign w:val="top"/>
          </w:tcPr>
          <w:p>
            <w:pPr>
              <w:spacing w:after="0" w:before="0"/>
            </w:pPr>
            <w:r>
              <w:rPr>
                <w:sz w:val="16"/>
              </w:rPr>
              <w:t>Causal master preflight v1.0</w:t>
            </w:r>
          </w:p>
        </w:tc>
        <w:tc>
          <w:tcPr>
            <w:tcW w:type="dxa" w:w="6236"/>
            <w:vAlign w:val="top"/>
          </w:tcPr>
          <w:p>
            <w:pPr>
              <w:spacing w:after="0" w:before="0"/>
            </w:pPr>
            <w:r>
              <w:rPr>
                <w:sz w:val="16"/>
              </w:rPr>
              <w:t>Strutturale/diagnostico; ha evidenziato era5.label e sparse observed meteo. Non è il master finale.</w:t>
            </w:r>
          </w:p>
        </w:tc>
      </w:tr>
      <w:tr>
        <w:trPr>
          <w:cantSplit w:val="true"/>
        </w:trPr>
        <w:tc>
          <w:tcPr>
            <w:tcW w:type="dxa" w:w="3402"/>
            <w:vAlign w:val="top"/>
          </w:tcPr>
          <w:p>
            <w:pPr>
              <w:spacing w:after="0" w:before="0"/>
            </w:pPr>
            <w:r>
              <w:rPr>
                <w:sz w:val="16"/>
              </w:rPr>
              <w:t>Feature whitelist preflight v1.1</w:t>
            </w:r>
          </w:p>
        </w:tc>
        <w:tc>
          <w:tcPr>
            <w:tcW w:type="dxa" w:w="6236"/>
            <w:vAlign w:val="top"/>
          </w:tcPr>
          <w:p>
            <w:pPr>
              <w:spacing w:after="0" w:before="0"/>
            </w:pPr>
            <w:r>
              <w:rPr>
                <w:sz w:val="16"/>
              </w:rPr>
              <w:t>Falso FAIL su era5.label perché inventariava solo colonne numeriche.</w:t>
            </w:r>
          </w:p>
        </w:tc>
      </w:tr>
      <w:tr>
        <w:trPr>
          <w:cantSplit w:val="true"/>
        </w:trPr>
        <w:tc>
          <w:tcPr>
            <w:tcW w:type="dxa" w:w="3402"/>
            <w:vAlign w:val="top"/>
          </w:tcPr>
          <w:p>
            <w:pPr>
              <w:spacing w:after="0" w:before="0"/>
            </w:pPr>
            <w:r>
              <w:rPr>
                <w:sz w:val="16"/>
              </w:rPr>
              <w:t>Feature whitelist preflight v1.2</w:t>
            </w:r>
          </w:p>
        </w:tc>
        <w:tc>
          <w:tcPr>
            <w:tcW w:type="dxa" w:w="6236"/>
            <w:vAlign w:val="top"/>
          </w:tcPr>
          <w:p>
            <w:pPr>
              <w:spacing w:after="0" w:before="0"/>
            </w:pPr>
            <w:r>
              <w:rPr>
                <w:sz w:val="16"/>
              </w:rPr>
              <w:t>Preflight corretto; superseded dal freeze canonico v1.3.</w:t>
            </w:r>
          </w:p>
        </w:tc>
      </w:tr>
    </w:tbl>
    <w:p/>
    <w:p>
      <w:pPr>
        <w:pStyle w:val="Heading1"/>
      </w:pPr>
      <w:r>
        <w:t>18. Stato finale, cosa è chiuso e cosa potrà essere fatto dopo</w:t>
      </w:r>
    </w:p>
    <w:p>
      <w:r>
        <w:rPr>
          <w:b/>
        </w:rPr>
        <w:t xml:space="preserve">Chiuso definitivamente in questo ciclo. </w:t>
      </w:r>
      <w:r>
        <w:t>Acquisizione e QC delle fonti principali, normalizzazione osservazioni, geometrie dei recettori, target primari, label Q95, whitelist dinamica e statica, master CORE, benchmark dei modelli, freeze, calibrazione e validazione finale indipendente.</w:t>
      </w:r>
    </w:p>
    <w:p>
      <w:pPr>
        <w:pStyle w:val="ListBullet"/>
        <w:spacing w:after="40"/>
      </w:pPr>
      <w:r>
        <w:t>FASE 9 — Master dataset regionale: CLOSED / CANONICAL v1.0.</w:t>
      </w:r>
    </w:p>
    <w:p>
      <w:pPr>
        <w:pStyle w:val="ListBullet"/>
        <w:spacing w:after="40"/>
      </w:pPr>
      <w:r>
        <w:t>FASE 10 — Modello regionale CORE: sviluppo CLOSED / FROZEN v1.2; final holdout v1.0 completato.</w:t>
      </w:r>
    </w:p>
    <w:p>
      <w:pPr>
        <w:pStyle w:val="ListBullet"/>
        <w:spacing w:after="40"/>
      </w:pPr>
      <w:r>
        <w:t>Il risultato 2023–2025 è il riferimento finale del modello CORE e non va “migliorato” retroattivamente.</w:t>
      </w:r>
    </w:p>
    <w:p>
      <w:pPr>
        <w:pStyle w:val="ListBullet"/>
        <w:spacing w:after="40"/>
      </w:pPr>
      <w:r>
        <w:t>Il master CORE resta l’input canonico per analisi descrittive, interpretazione e packaging.</w:t>
      </w:r>
    </w:p>
    <w:p>
      <w:r>
        <w:rPr>
          <w:b/>
        </w:rPr>
        <w:t xml:space="preserve">Attività future consentite senza riscrivere il risultato CORE. </w:t>
      </w:r>
      <w:r>
        <w:t>Si possono produrre grafici, tabelle, analisi di feature importance/SHAP, analisi per recettore e anno, documentazione scientifica, repository GitHub, data dictionary e pacchetto di riproducibilità. Si possono inoltre sviluppare sensitivity analysis (ad esempio augment con precipitazione osservata, XGBoost, nuove feature o nuovi schemi di soglia), ma devono essere dichiarate come analisi secondarie/post-hoc e non possono usare 2023–2025 come nuovo holdout indipendente.</w:t>
      </w:r>
    </w:p>
    <w:p>
      <w:r>
        <w:rPr>
          <w:b/>
        </w:rPr>
        <w:t xml:space="preserve">Per un futuro deployment operativo </w:t>
      </w:r>
      <w:r>
        <w:t>servirà una nuova fase: sostituire ERA5 reanalysis con analisi/NWP disponibili in tempo reale, definire il cutoff temporale delle feature, verificare latenza e completezza delle osservazioni, costruire procedure di aggiornamento giornaliero e validare il sistema su un nuovo periodo futuro. Questa è una fase applicativa distinta dalla chiusura scientifica del modello storico qui documentata.</w:t>
      </w:r>
    </w:p>
    <w:tbl>
      <w:tblPr>
        <w:tblStyle w:val="TableGrid"/>
        <w:tblW w:type="auto" w:w="0"/>
        <w:jc w:val="center"/>
        <w:tblLook w:firstColumn="1" w:firstRow="1" w:lastColumn="0" w:lastRow="0" w:noHBand="0" w:noVBand="1" w:val="04A0"/>
      </w:tblPr>
      <w:tblGrid>
        <w:gridCol w:w="9858"/>
      </w:tblGrid>
      <w:tr>
        <w:tc>
          <w:tcPr>
            <w:tcW w:type="dxa" w:w="9858"/>
            <w:shd w:fill="F3F6F8"/>
          </w:tcPr>
          <w:p>
            <w:pPr>
              <w:spacing w:after="0"/>
            </w:pPr>
            <w:r>
              <w:rPr>
                <w:b/>
              </w:rPr>
              <w:t xml:space="preserve">Punto di chiusura — </w:t>
            </w:r>
            <w:r>
              <w:t>Questo è il “punto fermo” del progetto: da qui in avanti gli artefatti canonici non devono più essere ricostruiti o sostituiti senza creare una nuova versione formalmente distinta.</w:t>
            </w:r>
          </w:p>
        </w:tc>
      </w:tr>
    </w:tbl>
    <w:p/>
    <w:p>
      <w:r>
        <w:br w:type="page"/>
      </w:r>
    </w:p>
    <w:p>
      <w:pPr>
        <w:pStyle w:val="Heading1"/>
      </w:pPr>
      <w:r>
        <w:t>Appendice A — Rete dei 20 target idrologici e soglie ufficiali</w:t>
      </w:r>
    </w:p>
    <w:tbl>
      <w:tblPr>
        <w:tblStyle w:val="TableGrid"/>
        <w:tblW w:type="auto" w:w="0"/>
        <w:jc w:val="center"/>
        <w:tblLook w:firstColumn="1" w:firstRow="1" w:lastColumn="0" w:lastRow="0" w:noHBand="0" w:noVBand="1" w:val="04A0"/>
      </w:tblPr>
      <w:tblGrid>
        <w:gridCol w:w="1643"/>
        <w:gridCol w:w="1643"/>
        <w:gridCol w:w="1643"/>
        <w:gridCol w:w="1643"/>
        <w:gridCol w:w="1643"/>
        <w:gridCol w:w="1643"/>
      </w:tblGrid>
      <w:tr>
        <w:trPr>
          <w:tblHeader w:val="true"/>
          <w:cantSplit w:val="true"/>
        </w:trPr>
        <w:tc>
          <w:tcPr>
            <w:tcW w:type="dxa" w:w="1814"/>
            <w:shd w:fill="D9EAF7"/>
            <w:vAlign w:val="center"/>
          </w:tcPr>
          <w:p>
            <w:pPr>
              <w:jc w:val="center"/>
            </w:pPr>
            <w:r>
              <w:rPr>
                <w:b/>
                <w:sz w:val="13"/>
              </w:rPr>
              <w:t>Recettore</w:t>
            </w:r>
          </w:p>
        </w:tc>
        <w:tc>
          <w:tcPr>
            <w:tcW w:type="dxa" w:w="2268"/>
            <w:shd w:fill="D9EAF7"/>
            <w:vAlign w:val="center"/>
          </w:tcPr>
          <w:p>
            <w:pPr>
              <w:jc w:val="center"/>
            </w:pPr>
            <w:r>
              <w:rPr>
                <w:b/>
                <w:sz w:val="13"/>
              </w:rPr>
              <w:t>Sezione</w:t>
            </w:r>
          </w:p>
        </w:tc>
        <w:tc>
          <w:tcPr>
            <w:tcW w:type="dxa" w:w="964"/>
            <w:shd w:fill="D9EAF7"/>
            <w:vAlign w:val="center"/>
          </w:tcPr>
          <w:p>
            <w:pPr>
              <w:jc w:val="center"/>
            </w:pPr>
            <w:r>
              <w:rPr>
                <w:b/>
                <w:sz w:val="13"/>
              </w:rPr>
              <w:t>Famiglia</w:t>
            </w:r>
          </w:p>
        </w:tc>
        <w:tc>
          <w:tcPr>
            <w:tcW w:type="dxa" w:w="1984"/>
            <w:shd w:fill="D9EAF7"/>
            <w:vAlign w:val="center"/>
          </w:tcPr>
          <w:p>
            <w:pPr>
              <w:jc w:val="center"/>
            </w:pPr>
            <w:r>
              <w:rPr>
                <w:b/>
                <w:sz w:val="13"/>
              </w:rPr>
              <w:t>Soglie inferiori</w:t>
            </w:r>
          </w:p>
        </w:tc>
        <w:tc>
          <w:tcPr>
            <w:tcW w:type="dxa" w:w="1701"/>
            <w:shd w:fill="D9EAF7"/>
            <w:vAlign w:val="center"/>
          </w:tcPr>
          <w:p>
            <w:pPr>
              <w:jc w:val="center"/>
            </w:pPr>
            <w:r>
              <w:rPr>
                <w:b/>
                <w:sz w:val="13"/>
              </w:rPr>
              <w:t>Soglia superiore</w:t>
            </w:r>
          </w:p>
        </w:tc>
        <w:tc>
          <w:tcPr>
            <w:tcW w:type="dxa" w:w="1701"/>
            <w:shd w:fill="D9EAF7"/>
            <w:vAlign w:val="center"/>
          </w:tcPr>
          <w:p>
            <w:pPr>
              <w:jc w:val="center"/>
            </w:pPr>
            <w:r>
              <w:rPr>
                <w:b/>
                <w:sz w:val="13"/>
              </w:rPr>
              <w:t>Ruolo</w:t>
            </w:r>
          </w:p>
        </w:tc>
      </w:tr>
      <w:tr>
        <w:trPr>
          <w:cantSplit w:val="true"/>
        </w:trPr>
        <w:tc>
          <w:tcPr>
            <w:tcW w:type="dxa" w:w="1814"/>
            <w:vAlign w:val="top"/>
          </w:tcPr>
          <w:p>
            <w:pPr>
              <w:spacing w:after="0" w:before="0"/>
            </w:pPr>
            <w:r>
              <w:rPr>
                <w:sz w:val="13"/>
              </w:rPr>
              <w:t>LIG_BISAGNO</w:t>
            </w:r>
          </w:p>
        </w:tc>
        <w:tc>
          <w:tcPr>
            <w:tcW w:type="dxa" w:w="2268"/>
            <w:vAlign w:val="top"/>
          </w:tcPr>
          <w:p>
            <w:pPr>
              <w:spacing w:after="0" w:before="0"/>
            </w:pPr>
            <w:r>
              <w:rPr>
                <w:sz w:val="13"/>
              </w:rPr>
              <w:t>bisagno_firpo_level</w:t>
            </w:r>
          </w:p>
        </w:tc>
        <w:tc>
          <w:tcPr>
            <w:tcW w:type="dxa" w:w="964"/>
            <w:vAlign w:val="top"/>
          </w:tcPr>
          <w:p>
            <w:pPr>
              <w:spacing w:after="0" w:before="0"/>
            </w:pPr>
            <w:r>
              <w:rPr>
                <w:sz w:val="13"/>
              </w:rPr>
              <w:t>STAGE</w:t>
            </w:r>
          </w:p>
        </w:tc>
        <w:tc>
          <w:tcPr>
            <w:tcW w:type="dxa" w:w="1984"/>
            <w:vAlign w:val="top"/>
          </w:tcPr>
          <w:p>
            <w:pPr>
              <w:spacing w:after="0" w:before="0"/>
            </w:pPr>
            <w:r>
              <w:rPr>
                <w:sz w:val="13"/>
              </w:rPr>
              <w:t>GUARDIA 3,0 m</w:t>
            </w:r>
          </w:p>
        </w:tc>
        <w:tc>
          <w:tcPr>
            <w:tcW w:type="dxa" w:w="1701"/>
            <w:vAlign w:val="top"/>
          </w:tcPr>
          <w:p>
            <w:pPr>
              <w:spacing w:after="0" w:before="0"/>
            </w:pPr>
            <w:r>
              <w:rPr>
                <w:sz w:val="13"/>
              </w:rPr>
              <w:t>ESONDAZIONE 4,5 m</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LIG_CENTA</w:t>
            </w:r>
          </w:p>
        </w:tc>
        <w:tc>
          <w:tcPr>
            <w:tcW w:type="dxa" w:w="2268"/>
            <w:vAlign w:val="top"/>
          </w:tcPr>
          <w:p>
            <w:pPr>
              <w:spacing w:after="0" w:before="0"/>
            </w:pPr>
            <w:r>
              <w:rPr>
                <w:sz w:val="13"/>
              </w:rPr>
              <w:t>centa_cisano_neva_level</w:t>
            </w:r>
          </w:p>
        </w:tc>
        <w:tc>
          <w:tcPr>
            <w:tcW w:type="dxa" w:w="964"/>
            <w:vAlign w:val="top"/>
          </w:tcPr>
          <w:p>
            <w:pPr>
              <w:spacing w:after="0" w:before="0"/>
            </w:pPr>
            <w:r>
              <w:rPr>
                <w:sz w:val="13"/>
              </w:rPr>
              <w:t>STAGE</w:t>
            </w:r>
          </w:p>
        </w:tc>
        <w:tc>
          <w:tcPr>
            <w:tcW w:type="dxa" w:w="1984"/>
            <w:vAlign w:val="top"/>
          </w:tcPr>
          <w:p>
            <w:pPr>
              <w:spacing w:after="0" w:before="0"/>
            </w:pPr>
            <w:r>
              <w:rPr>
                <w:sz w:val="13"/>
              </w:rPr>
              <w:t>GUARDIA 3,0 m</w:t>
            </w:r>
          </w:p>
        </w:tc>
        <w:tc>
          <w:tcPr>
            <w:tcW w:type="dxa" w:w="1701"/>
            <w:vAlign w:val="top"/>
          </w:tcPr>
          <w:p>
            <w:pPr>
              <w:spacing w:after="0" w:before="0"/>
            </w:pPr>
            <w:r>
              <w:rPr>
                <w:sz w:val="13"/>
              </w:rPr>
              <w:t>ESONDAZIONE 4,0 m</w:t>
            </w:r>
          </w:p>
        </w:tc>
        <w:tc>
          <w:tcPr>
            <w:tcW w:type="dxa" w:w="1701"/>
            <w:vAlign w:val="top"/>
          </w:tcPr>
          <w:p>
            <w:pPr>
              <w:spacing w:after="0" w:before="0"/>
            </w:pPr>
            <w:r>
              <w:rPr>
                <w:sz w:val="13"/>
              </w:rPr>
              <w:t>PRIMARY_PROXY_TRIBUTARY</w:t>
            </w:r>
          </w:p>
        </w:tc>
      </w:tr>
      <w:tr>
        <w:trPr>
          <w:cantSplit w:val="true"/>
        </w:trPr>
        <w:tc>
          <w:tcPr>
            <w:tcW w:type="dxa" w:w="1814"/>
            <w:vAlign w:val="top"/>
          </w:tcPr>
          <w:p>
            <w:pPr>
              <w:spacing w:after="0" w:before="0"/>
            </w:pPr>
            <w:r>
              <w:rPr>
                <w:sz w:val="13"/>
              </w:rPr>
              <w:t>LIG_MAGRA</w:t>
            </w:r>
          </w:p>
        </w:tc>
        <w:tc>
          <w:tcPr>
            <w:tcW w:type="dxa" w:w="2268"/>
            <w:vAlign w:val="top"/>
          </w:tcPr>
          <w:p>
            <w:pPr>
              <w:spacing w:after="0" w:before="0"/>
            </w:pPr>
            <w:r>
              <w:rPr>
                <w:sz w:val="13"/>
              </w:rPr>
              <w:t>magra_fornola_level</w:t>
            </w:r>
          </w:p>
        </w:tc>
        <w:tc>
          <w:tcPr>
            <w:tcW w:type="dxa" w:w="964"/>
            <w:vAlign w:val="top"/>
          </w:tcPr>
          <w:p>
            <w:pPr>
              <w:spacing w:after="0" w:before="0"/>
            </w:pPr>
            <w:r>
              <w:rPr>
                <w:sz w:val="13"/>
              </w:rPr>
              <w:t>STAGE</w:t>
            </w:r>
          </w:p>
        </w:tc>
        <w:tc>
          <w:tcPr>
            <w:tcW w:type="dxa" w:w="1984"/>
            <w:vAlign w:val="top"/>
          </w:tcPr>
          <w:p>
            <w:pPr>
              <w:spacing w:after="0" w:before="0"/>
            </w:pPr>
            <w:r>
              <w:rPr>
                <w:sz w:val="13"/>
              </w:rPr>
              <w:t>GUARDIA 3,5 m</w:t>
            </w:r>
          </w:p>
        </w:tc>
        <w:tc>
          <w:tcPr>
            <w:tcW w:type="dxa" w:w="1701"/>
            <w:vAlign w:val="top"/>
          </w:tcPr>
          <w:p>
            <w:pPr>
              <w:spacing w:after="0" w:before="0"/>
            </w:pPr>
            <w:r>
              <w:rPr>
                <w:sz w:val="13"/>
              </w:rPr>
              <w:t>ESONDAZIONE 5,0 m</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LIG_POLCEVERA</w:t>
            </w:r>
          </w:p>
        </w:tc>
        <w:tc>
          <w:tcPr>
            <w:tcW w:type="dxa" w:w="2268"/>
            <w:vAlign w:val="top"/>
          </w:tcPr>
          <w:p>
            <w:pPr>
              <w:spacing w:after="0" w:before="0"/>
            </w:pPr>
            <w:r>
              <w:rPr>
                <w:sz w:val="13"/>
              </w:rPr>
              <w:t>polcevera_pontedecimo_level</w:t>
            </w:r>
          </w:p>
        </w:tc>
        <w:tc>
          <w:tcPr>
            <w:tcW w:type="dxa" w:w="964"/>
            <w:vAlign w:val="top"/>
          </w:tcPr>
          <w:p>
            <w:pPr>
              <w:spacing w:after="0" w:before="0"/>
            </w:pPr>
            <w:r>
              <w:rPr>
                <w:sz w:val="13"/>
              </w:rPr>
              <w:t>STAGE</w:t>
            </w:r>
          </w:p>
        </w:tc>
        <w:tc>
          <w:tcPr>
            <w:tcW w:type="dxa" w:w="1984"/>
            <w:vAlign w:val="top"/>
          </w:tcPr>
          <w:p>
            <w:pPr>
              <w:spacing w:after="0" w:before="0"/>
            </w:pPr>
            <w:r>
              <w:rPr>
                <w:sz w:val="13"/>
              </w:rPr>
              <w:t>GUARDIA 2,5 m</w:t>
            </w:r>
          </w:p>
        </w:tc>
        <w:tc>
          <w:tcPr>
            <w:tcW w:type="dxa" w:w="1701"/>
            <w:vAlign w:val="top"/>
          </w:tcPr>
          <w:p>
            <w:pPr>
              <w:spacing w:after="0" w:before="0"/>
            </w:pPr>
            <w:r>
              <w:rPr>
                <w:sz w:val="13"/>
              </w:rPr>
              <w:t>ESONDAZIONE 4,0 m</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NW_BORMIDA</w:t>
            </w:r>
          </w:p>
        </w:tc>
        <w:tc>
          <w:tcPr>
            <w:tcW w:type="dxa" w:w="2268"/>
            <w:vAlign w:val="top"/>
          </w:tcPr>
          <w:p>
            <w:pPr>
              <w:spacing w:after="0" w:before="0"/>
            </w:pPr>
            <w:r>
              <w:rPr>
                <w:sz w:val="13"/>
              </w:rPr>
              <w:t>CASSINE BORMIDA</w:t>
            </w:r>
          </w:p>
        </w:tc>
        <w:tc>
          <w:tcPr>
            <w:tcW w:type="dxa" w:w="964"/>
            <w:vAlign w:val="top"/>
          </w:tcPr>
          <w:p>
            <w:pPr>
              <w:spacing w:after="0" w:before="0"/>
            </w:pPr>
            <w:r>
              <w:rPr>
                <w:sz w:val="13"/>
              </w:rPr>
              <w:t>FLOW</w:t>
            </w:r>
          </w:p>
        </w:tc>
        <w:tc>
          <w:tcPr>
            <w:tcW w:type="dxa" w:w="1984"/>
            <w:vAlign w:val="top"/>
          </w:tcPr>
          <w:p>
            <w:pPr>
              <w:spacing w:after="0" w:before="0"/>
            </w:pPr>
            <w:r>
              <w:rPr>
                <w:sz w:val="13"/>
              </w:rPr>
              <w:t>S1 750 m³/s; S2 1.000</w:t>
            </w:r>
          </w:p>
        </w:tc>
        <w:tc>
          <w:tcPr>
            <w:tcW w:type="dxa" w:w="1701"/>
            <w:vAlign w:val="top"/>
          </w:tcPr>
          <w:p>
            <w:pPr>
              <w:spacing w:after="0" w:before="0"/>
            </w:pPr>
            <w:r>
              <w:rPr>
                <w:sz w:val="13"/>
              </w:rPr>
              <w:t>S3 1.400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NW_CHISONE</w:t>
            </w:r>
          </w:p>
        </w:tc>
        <w:tc>
          <w:tcPr>
            <w:tcW w:type="dxa" w:w="2268"/>
            <w:vAlign w:val="top"/>
          </w:tcPr>
          <w:p>
            <w:pPr>
              <w:spacing w:after="0" w:before="0"/>
            </w:pPr>
            <w:r>
              <w:rPr>
                <w:sz w:val="13"/>
              </w:rPr>
              <w:t>SAN MARTINO CHISONE</w:t>
            </w:r>
          </w:p>
        </w:tc>
        <w:tc>
          <w:tcPr>
            <w:tcW w:type="dxa" w:w="964"/>
            <w:vAlign w:val="top"/>
          </w:tcPr>
          <w:p>
            <w:pPr>
              <w:spacing w:after="0" w:before="0"/>
            </w:pPr>
            <w:r>
              <w:rPr>
                <w:sz w:val="13"/>
              </w:rPr>
              <w:t>STAGE</w:t>
            </w:r>
          </w:p>
        </w:tc>
        <w:tc>
          <w:tcPr>
            <w:tcW w:type="dxa" w:w="1984"/>
            <w:vAlign w:val="top"/>
          </w:tcPr>
          <w:p>
            <w:pPr>
              <w:spacing w:after="0" w:before="0"/>
            </w:pPr>
            <w:r>
              <w:rPr>
                <w:sz w:val="13"/>
              </w:rPr>
              <w:t>1,5 / 2,2 m</w:t>
            </w:r>
          </w:p>
        </w:tc>
        <w:tc>
          <w:tcPr>
            <w:tcW w:type="dxa" w:w="1701"/>
            <w:vAlign w:val="top"/>
          </w:tcPr>
          <w:p>
            <w:pPr>
              <w:spacing w:after="0" w:before="0"/>
            </w:pPr>
            <w:r>
              <w:rPr>
                <w:sz w:val="13"/>
              </w:rPr>
              <w:t>3,3 m</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NW_DORA_BALTEA</w:t>
            </w:r>
          </w:p>
        </w:tc>
        <w:tc>
          <w:tcPr>
            <w:tcW w:type="dxa" w:w="2268"/>
            <w:vAlign w:val="top"/>
          </w:tcPr>
          <w:p>
            <w:pPr>
              <w:spacing w:after="0" w:before="0"/>
            </w:pPr>
            <w:r>
              <w:rPr>
                <w:sz w:val="13"/>
              </w:rPr>
              <w:t>VEROLENGO DORA BALTEA</w:t>
            </w:r>
          </w:p>
        </w:tc>
        <w:tc>
          <w:tcPr>
            <w:tcW w:type="dxa" w:w="964"/>
            <w:vAlign w:val="top"/>
          </w:tcPr>
          <w:p>
            <w:pPr>
              <w:spacing w:after="0" w:before="0"/>
            </w:pPr>
            <w:r>
              <w:rPr>
                <w:sz w:val="13"/>
              </w:rPr>
              <w:t>STAGE</w:t>
            </w:r>
          </w:p>
        </w:tc>
        <w:tc>
          <w:tcPr>
            <w:tcW w:type="dxa" w:w="1984"/>
            <w:vAlign w:val="top"/>
          </w:tcPr>
          <w:p>
            <w:pPr>
              <w:spacing w:after="0" w:before="0"/>
            </w:pPr>
            <w:r>
              <w:rPr>
                <w:sz w:val="13"/>
              </w:rPr>
              <w:t>2,7 / 3,1 m</w:t>
            </w:r>
          </w:p>
        </w:tc>
        <w:tc>
          <w:tcPr>
            <w:tcW w:type="dxa" w:w="1701"/>
            <w:vAlign w:val="top"/>
          </w:tcPr>
          <w:p>
            <w:pPr>
              <w:spacing w:after="0" w:before="0"/>
            </w:pPr>
            <w:r>
              <w:rPr>
                <w:sz w:val="13"/>
              </w:rPr>
              <w:t>3,9 m</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NW_DORA_RIPARIA</w:t>
            </w:r>
          </w:p>
        </w:tc>
        <w:tc>
          <w:tcPr>
            <w:tcW w:type="dxa" w:w="2268"/>
            <w:vAlign w:val="top"/>
          </w:tcPr>
          <w:p>
            <w:pPr>
              <w:spacing w:after="0" w:before="0"/>
            </w:pPr>
            <w:r>
              <w:rPr>
                <w:sz w:val="13"/>
              </w:rPr>
              <w:t>TORINO DORA RIPARIA</w:t>
            </w:r>
          </w:p>
        </w:tc>
        <w:tc>
          <w:tcPr>
            <w:tcW w:type="dxa" w:w="964"/>
            <w:vAlign w:val="top"/>
          </w:tcPr>
          <w:p>
            <w:pPr>
              <w:spacing w:after="0" w:before="0"/>
            </w:pPr>
            <w:r>
              <w:rPr>
                <w:sz w:val="13"/>
              </w:rPr>
              <w:t>FLOW</w:t>
            </w:r>
          </w:p>
        </w:tc>
        <w:tc>
          <w:tcPr>
            <w:tcW w:type="dxa" w:w="1984"/>
            <w:vAlign w:val="top"/>
          </w:tcPr>
          <w:p>
            <w:pPr>
              <w:spacing w:after="0" w:before="0"/>
            </w:pPr>
            <w:r>
              <w:rPr>
                <w:sz w:val="13"/>
              </w:rPr>
              <w:t>160 / 290 m³/s</w:t>
            </w:r>
          </w:p>
        </w:tc>
        <w:tc>
          <w:tcPr>
            <w:tcW w:type="dxa" w:w="1701"/>
            <w:vAlign w:val="top"/>
          </w:tcPr>
          <w:p>
            <w:pPr>
              <w:spacing w:after="0" w:before="0"/>
            </w:pPr>
            <w:r>
              <w:rPr>
                <w:sz w:val="13"/>
              </w:rPr>
              <w:t>490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NW_MAIRA</w:t>
            </w:r>
          </w:p>
        </w:tc>
        <w:tc>
          <w:tcPr>
            <w:tcW w:type="dxa" w:w="2268"/>
            <w:vAlign w:val="top"/>
          </w:tcPr>
          <w:p>
            <w:pPr>
              <w:spacing w:after="0" w:before="0"/>
            </w:pPr>
            <w:r>
              <w:rPr>
                <w:sz w:val="13"/>
              </w:rPr>
              <w:t>RACCONIGI MAIRA</w:t>
            </w:r>
          </w:p>
        </w:tc>
        <w:tc>
          <w:tcPr>
            <w:tcW w:type="dxa" w:w="964"/>
            <w:vAlign w:val="top"/>
          </w:tcPr>
          <w:p>
            <w:pPr>
              <w:spacing w:after="0" w:before="0"/>
            </w:pPr>
            <w:r>
              <w:rPr>
                <w:sz w:val="13"/>
              </w:rPr>
              <w:t>FLOW</w:t>
            </w:r>
          </w:p>
        </w:tc>
        <w:tc>
          <w:tcPr>
            <w:tcW w:type="dxa" w:w="1984"/>
            <w:vAlign w:val="top"/>
          </w:tcPr>
          <w:p>
            <w:pPr>
              <w:spacing w:after="0" w:before="0"/>
            </w:pPr>
            <w:r>
              <w:rPr>
                <w:sz w:val="13"/>
              </w:rPr>
              <w:t>100 / 200 m³/s</w:t>
            </w:r>
          </w:p>
        </w:tc>
        <w:tc>
          <w:tcPr>
            <w:tcW w:type="dxa" w:w="1701"/>
            <w:vAlign w:val="top"/>
          </w:tcPr>
          <w:p>
            <w:pPr>
              <w:spacing w:after="0" w:before="0"/>
            </w:pPr>
            <w:r>
              <w:rPr>
                <w:sz w:val="13"/>
              </w:rPr>
              <w:t>300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NW_ORBA</w:t>
            </w:r>
          </w:p>
        </w:tc>
        <w:tc>
          <w:tcPr>
            <w:tcW w:type="dxa" w:w="2268"/>
            <w:vAlign w:val="top"/>
          </w:tcPr>
          <w:p>
            <w:pPr>
              <w:spacing w:after="0" w:before="0"/>
            </w:pPr>
            <w:r>
              <w:rPr>
                <w:sz w:val="13"/>
              </w:rPr>
              <w:t>CASAL CERMELLI ORBA</w:t>
            </w:r>
          </w:p>
        </w:tc>
        <w:tc>
          <w:tcPr>
            <w:tcW w:type="dxa" w:w="964"/>
            <w:vAlign w:val="top"/>
          </w:tcPr>
          <w:p>
            <w:pPr>
              <w:spacing w:after="0" w:before="0"/>
            </w:pPr>
            <w:r>
              <w:rPr>
                <w:sz w:val="13"/>
              </w:rPr>
              <w:t>FLOW</w:t>
            </w:r>
          </w:p>
        </w:tc>
        <w:tc>
          <w:tcPr>
            <w:tcW w:type="dxa" w:w="1984"/>
            <w:vAlign w:val="top"/>
          </w:tcPr>
          <w:p>
            <w:pPr>
              <w:spacing w:after="0" w:before="0"/>
            </w:pPr>
            <w:r>
              <w:rPr>
                <w:sz w:val="13"/>
              </w:rPr>
              <w:t>700 / 1.000 m³/s</w:t>
            </w:r>
          </w:p>
        </w:tc>
        <w:tc>
          <w:tcPr>
            <w:tcW w:type="dxa" w:w="1701"/>
            <w:vAlign w:val="top"/>
          </w:tcPr>
          <w:p>
            <w:pPr>
              <w:spacing w:after="0" w:before="0"/>
            </w:pPr>
            <w:r>
              <w:rPr>
                <w:sz w:val="13"/>
              </w:rPr>
              <w:t>1.500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NW_ORCO</w:t>
            </w:r>
          </w:p>
        </w:tc>
        <w:tc>
          <w:tcPr>
            <w:tcW w:type="dxa" w:w="2268"/>
            <w:vAlign w:val="top"/>
          </w:tcPr>
          <w:p>
            <w:pPr>
              <w:spacing w:after="0" w:before="0"/>
            </w:pPr>
            <w:r>
              <w:rPr>
                <w:sz w:val="13"/>
              </w:rPr>
              <w:t>SAN BENIGNO ORCO</w:t>
            </w:r>
          </w:p>
        </w:tc>
        <w:tc>
          <w:tcPr>
            <w:tcW w:type="dxa" w:w="964"/>
            <w:vAlign w:val="top"/>
          </w:tcPr>
          <w:p>
            <w:pPr>
              <w:spacing w:after="0" w:before="0"/>
            </w:pPr>
            <w:r>
              <w:rPr>
                <w:sz w:val="13"/>
              </w:rPr>
              <w:t>FLOW</w:t>
            </w:r>
          </w:p>
        </w:tc>
        <w:tc>
          <w:tcPr>
            <w:tcW w:type="dxa" w:w="1984"/>
            <w:vAlign w:val="top"/>
          </w:tcPr>
          <w:p>
            <w:pPr>
              <w:spacing w:after="0" w:before="0"/>
            </w:pPr>
            <w:r>
              <w:rPr>
                <w:sz w:val="13"/>
              </w:rPr>
              <w:t>480 / 700 m³/s</w:t>
            </w:r>
          </w:p>
        </w:tc>
        <w:tc>
          <w:tcPr>
            <w:tcW w:type="dxa" w:w="1701"/>
            <w:vAlign w:val="top"/>
          </w:tcPr>
          <w:p>
            <w:pPr>
              <w:spacing w:after="0" w:before="0"/>
            </w:pPr>
            <w:r>
              <w:rPr>
                <w:sz w:val="13"/>
              </w:rPr>
              <w:t>1.200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NW_PELLICE</w:t>
            </w:r>
          </w:p>
        </w:tc>
        <w:tc>
          <w:tcPr>
            <w:tcW w:type="dxa" w:w="2268"/>
            <w:vAlign w:val="top"/>
          </w:tcPr>
          <w:p>
            <w:pPr>
              <w:spacing w:after="0" w:before="0"/>
            </w:pPr>
            <w:r>
              <w:rPr>
                <w:sz w:val="13"/>
              </w:rPr>
              <w:t>VILLAFRANCA PELLICE</w:t>
            </w:r>
          </w:p>
        </w:tc>
        <w:tc>
          <w:tcPr>
            <w:tcW w:type="dxa" w:w="964"/>
            <w:vAlign w:val="top"/>
          </w:tcPr>
          <w:p>
            <w:pPr>
              <w:spacing w:after="0" w:before="0"/>
            </w:pPr>
            <w:r>
              <w:rPr>
                <w:sz w:val="13"/>
              </w:rPr>
              <w:t>FLOW</w:t>
            </w:r>
          </w:p>
        </w:tc>
        <w:tc>
          <w:tcPr>
            <w:tcW w:type="dxa" w:w="1984"/>
            <w:vAlign w:val="top"/>
          </w:tcPr>
          <w:p>
            <w:pPr>
              <w:spacing w:after="0" w:before="0"/>
            </w:pPr>
            <w:r>
              <w:rPr>
                <w:sz w:val="13"/>
              </w:rPr>
              <w:t>300 / 550 m³/s</w:t>
            </w:r>
          </w:p>
        </w:tc>
        <w:tc>
          <w:tcPr>
            <w:tcW w:type="dxa" w:w="1701"/>
            <w:vAlign w:val="top"/>
          </w:tcPr>
          <w:p>
            <w:pPr>
              <w:spacing w:after="0" w:before="0"/>
            </w:pPr>
            <w:r>
              <w:rPr>
                <w:sz w:val="13"/>
              </w:rPr>
              <w:t>900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NW_SCRIVIA</w:t>
            </w:r>
          </w:p>
        </w:tc>
        <w:tc>
          <w:tcPr>
            <w:tcW w:type="dxa" w:w="2268"/>
            <w:vAlign w:val="top"/>
          </w:tcPr>
          <w:p>
            <w:pPr>
              <w:spacing w:after="0" w:before="0"/>
            </w:pPr>
            <w:r>
              <w:rPr>
                <w:sz w:val="13"/>
              </w:rPr>
              <w:t>GUAZZORA SCRIVIA</w:t>
            </w:r>
          </w:p>
        </w:tc>
        <w:tc>
          <w:tcPr>
            <w:tcW w:type="dxa" w:w="964"/>
            <w:vAlign w:val="top"/>
          </w:tcPr>
          <w:p>
            <w:pPr>
              <w:spacing w:after="0" w:before="0"/>
            </w:pPr>
            <w:r>
              <w:rPr>
                <w:sz w:val="13"/>
              </w:rPr>
              <w:t>FLOW</w:t>
            </w:r>
          </w:p>
        </w:tc>
        <w:tc>
          <w:tcPr>
            <w:tcW w:type="dxa" w:w="1984"/>
            <w:vAlign w:val="top"/>
          </w:tcPr>
          <w:p>
            <w:pPr>
              <w:spacing w:after="0" w:before="0"/>
            </w:pPr>
            <w:r>
              <w:rPr>
                <w:sz w:val="13"/>
              </w:rPr>
              <w:t>800 / 1.100 m³/s</w:t>
            </w:r>
          </w:p>
        </w:tc>
        <w:tc>
          <w:tcPr>
            <w:tcW w:type="dxa" w:w="1701"/>
            <w:vAlign w:val="top"/>
          </w:tcPr>
          <w:p>
            <w:pPr>
              <w:spacing w:after="0" w:before="0"/>
            </w:pPr>
            <w:r>
              <w:rPr>
                <w:sz w:val="13"/>
              </w:rPr>
              <w:t>1.600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NW_SESIA</w:t>
            </w:r>
          </w:p>
        </w:tc>
        <w:tc>
          <w:tcPr>
            <w:tcW w:type="dxa" w:w="2268"/>
            <w:vAlign w:val="top"/>
          </w:tcPr>
          <w:p>
            <w:pPr>
              <w:spacing w:after="0" w:before="0"/>
            </w:pPr>
            <w:r>
              <w:rPr>
                <w:sz w:val="13"/>
              </w:rPr>
              <w:t>PALESTRO SESIA</w:t>
            </w:r>
          </w:p>
        </w:tc>
        <w:tc>
          <w:tcPr>
            <w:tcW w:type="dxa" w:w="964"/>
            <w:vAlign w:val="top"/>
          </w:tcPr>
          <w:p>
            <w:pPr>
              <w:spacing w:after="0" w:before="0"/>
            </w:pPr>
            <w:r>
              <w:rPr>
                <w:sz w:val="13"/>
              </w:rPr>
              <w:t>FLOW</w:t>
            </w:r>
          </w:p>
        </w:tc>
        <w:tc>
          <w:tcPr>
            <w:tcW w:type="dxa" w:w="1984"/>
            <w:vAlign w:val="top"/>
          </w:tcPr>
          <w:p>
            <w:pPr>
              <w:spacing w:after="0" w:before="0"/>
            </w:pPr>
            <w:r>
              <w:rPr>
                <w:sz w:val="13"/>
              </w:rPr>
              <w:t>1.200 / 2.200 m³/s</w:t>
            </w:r>
          </w:p>
        </w:tc>
        <w:tc>
          <w:tcPr>
            <w:tcW w:type="dxa" w:w="1701"/>
            <w:vAlign w:val="top"/>
          </w:tcPr>
          <w:p>
            <w:pPr>
              <w:spacing w:after="0" w:before="0"/>
            </w:pPr>
            <w:r>
              <w:rPr>
                <w:sz w:val="13"/>
              </w:rPr>
              <w:t>3.500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NW_STURA_DEMONTE</w:t>
            </w:r>
          </w:p>
        </w:tc>
        <w:tc>
          <w:tcPr>
            <w:tcW w:type="dxa" w:w="2268"/>
            <w:vAlign w:val="top"/>
          </w:tcPr>
          <w:p>
            <w:pPr>
              <w:spacing w:after="0" w:before="0"/>
            </w:pPr>
            <w:r>
              <w:rPr>
                <w:sz w:val="13"/>
              </w:rPr>
              <w:t>FOSSANO STURA DI DEMONTE</w:t>
            </w:r>
          </w:p>
        </w:tc>
        <w:tc>
          <w:tcPr>
            <w:tcW w:type="dxa" w:w="964"/>
            <w:vAlign w:val="top"/>
          </w:tcPr>
          <w:p>
            <w:pPr>
              <w:spacing w:after="0" w:before="0"/>
            </w:pPr>
            <w:r>
              <w:rPr>
                <w:sz w:val="13"/>
              </w:rPr>
              <w:t>FLOW</w:t>
            </w:r>
          </w:p>
        </w:tc>
        <w:tc>
          <w:tcPr>
            <w:tcW w:type="dxa" w:w="1984"/>
            <w:vAlign w:val="top"/>
          </w:tcPr>
          <w:p>
            <w:pPr>
              <w:spacing w:after="0" w:before="0"/>
            </w:pPr>
            <w:r>
              <w:rPr>
                <w:sz w:val="13"/>
              </w:rPr>
              <w:t>250 / 370 m³/s</w:t>
            </w:r>
          </w:p>
        </w:tc>
        <w:tc>
          <w:tcPr>
            <w:tcW w:type="dxa" w:w="1701"/>
            <w:vAlign w:val="top"/>
          </w:tcPr>
          <w:p>
            <w:pPr>
              <w:spacing w:after="0" w:before="0"/>
            </w:pPr>
            <w:r>
              <w:rPr>
                <w:sz w:val="13"/>
              </w:rPr>
              <w:t>670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NW_STURA_LANZO</w:t>
            </w:r>
          </w:p>
        </w:tc>
        <w:tc>
          <w:tcPr>
            <w:tcW w:type="dxa" w:w="2268"/>
            <w:vAlign w:val="top"/>
          </w:tcPr>
          <w:p>
            <w:pPr>
              <w:spacing w:after="0" w:before="0"/>
            </w:pPr>
            <w:r>
              <w:rPr>
                <w:sz w:val="13"/>
              </w:rPr>
              <w:t>TORINO STURA DI LANZO</w:t>
            </w:r>
          </w:p>
        </w:tc>
        <w:tc>
          <w:tcPr>
            <w:tcW w:type="dxa" w:w="964"/>
            <w:vAlign w:val="top"/>
          </w:tcPr>
          <w:p>
            <w:pPr>
              <w:spacing w:after="0" w:before="0"/>
            </w:pPr>
            <w:r>
              <w:rPr>
                <w:sz w:val="13"/>
              </w:rPr>
              <w:t>FLOW</w:t>
            </w:r>
          </w:p>
        </w:tc>
        <w:tc>
          <w:tcPr>
            <w:tcW w:type="dxa" w:w="1984"/>
            <w:vAlign w:val="top"/>
          </w:tcPr>
          <w:p>
            <w:pPr>
              <w:spacing w:after="0" w:before="0"/>
            </w:pPr>
            <w:r>
              <w:rPr>
                <w:sz w:val="13"/>
              </w:rPr>
              <w:t>600 / 900 m³/s</w:t>
            </w:r>
          </w:p>
        </w:tc>
        <w:tc>
          <w:tcPr>
            <w:tcW w:type="dxa" w:w="1701"/>
            <w:vAlign w:val="top"/>
          </w:tcPr>
          <w:p>
            <w:pPr>
              <w:spacing w:after="0" w:before="0"/>
            </w:pPr>
            <w:r>
              <w:rPr>
                <w:sz w:val="13"/>
              </w:rPr>
              <w:t>1.400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NW_TANARO_ALTO</w:t>
            </w:r>
          </w:p>
        </w:tc>
        <w:tc>
          <w:tcPr>
            <w:tcW w:type="dxa" w:w="2268"/>
            <w:vAlign w:val="top"/>
          </w:tcPr>
          <w:p>
            <w:pPr>
              <w:spacing w:after="0" w:before="0"/>
            </w:pPr>
            <w:r>
              <w:rPr>
                <w:sz w:val="13"/>
              </w:rPr>
              <w:t>FARIGLIANO TANARO</w:t>
            </w:r>
          </w:p>
        </w:tc>
        <w:tc>
          <w:tcPr>
            <w:tcW w:type="dxa" w:w="964"/>
            <w:vAlign w:val="top"/>
          </w:tcPr>
          <w:p>
            <w:pPr>
              <w:spacing w:after="0" w:before="0"/>
            </w:pPr>
            <w:r>
              <w:rPr>
                <w:sz w:val="13"/>
              </w:rPr>
              <w:t>FLOW</w:t>
            </w:r>
          </w:p>
        </w:tc>
        <w:tc>
          <w:tcPr>
            <w:tcW w:type="dxa" w:w="1984"/>
            <w:vAlign w:val="top"/>
          </w:tcPr>
          <w:p>
            <w:pPr>
              <w:spacing w:after="0" w:before="0"/>
            </w:pPr>
            <w:r>
              <w:rPr>
                <w:sz w:val="13"/>
              </w:rPr>
              <w:t>600 / 870 m³/s</w:t>
            </w:r>
          </w:p>
        </w:tc>
        <w:tc>
          <w:tcPr>
            <w:tcW w:type="dxa" w:w="1701"/>
            <w:vAlign w:val="top"/>
          </w:tcPr>
          <w:p>
            <w:pPr>
              <w:spacing w:after="0" w:before="0"/>
            </w:pPr>
            <w:r>
              <w:rPr>
                <w:sz w:val="13"/>
              </w:rPr>
              <w:t>1.500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NW_TANARO_MEDIO_BASSO</w:t>
            </w:r>
          </w:p>
        </w:tc>
        <w:tc>
          <w:tcPr>
            <w:tcW w:type="dxa" w:w="2268"/>
            <w:vAlign w:val="top"/>
          </w:tcPr>
          <w:p>
            <w:pPr>
              <w:spacing w:after="0" w:before="0"/>
            </w:pPr>
            <w:r>
              <w:rPr>
                <w:sz w:val="13"/>
              </w:rPr>
              <w:t>MONTECASTELLO TANARO</w:t>
            </w:r>
          </w:p>
        </w:tc>
        <w:tc>
          <w:tcPr>
            <w:tcW w:type="dxa" w:w="964"/>
            <w:vAlign w:val="top"/>
          </w:tcPr>
          <w:p>
            <w:pPr>
              <w:spacing w:after="0" w:before="0"/>
            </w:pPr>
            <w:r>
              <w:rPr>
                <w:sz w:val="13"/>
              </w:rPr>
              <w:t>FLOW</w:t>
            </w:r>
          </w:p>
        </w:tc>
        <w:tc>
          <w:tcPr>
            <w:tcW w:type="dxa" w:w="1984"/>
            <w:vAlign w:val="top"/>
          </w:tcPr>
          <w:p>
            <w:pPr>
              <w:spacing w:after="0" w:before="0"/>
            </w:pPr>
            <w:r>
              <w:rPr>
                <w:sz w:val="13"/>
              </w:rPr>
              <w:t>1.500 / 2.200 m³/s</w:t>
            </w:r>
          </w:p>
        </w:tc>
        <w:tc>
          <w:tcPr>
            <w:tcW w:type="dxa" w:w="1701"/>
            <w:vAlign w:val="top"/>
          </w:tcPr>
          <w:p>
            <w:pPr>
              <w:spacing w:after="0" w:before="0"/>
            </w:pPr>
            <w:r>
              <w:rPr>
                <w:sz w:val="13"/>
              </w:rPr>
              <w:t>3.000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NW_TOCE</w:t>
            </w:r>
          </w:p>
        </w:tc>
        <w:tc>
          <w:tcPr>
            <w:tcW w:type="dxa" w:w="2268"/>
            <w:vAlign w:val="top"/>
          </w:tcPr>
          <w:p>
            <w:pPr>
              <w:spacing w:after="0" w:before="0"/>
            </w:pPr>
            <w:r>
              <w:rPr>
                <w:sz w:val="13"/>
              </w:rPr>
              <w:t>CANDOGLIA TOCE</w:t>
            </w:r>
          </w:p>
        </w:tc>
        <w:tc>
          <w:tcPr>
            <w:tcW w:type="dxa" w:w="964"/>
            <w:vAlign w:val="top"/>
          </w:tcPr>
          <w:p>
            <w:pPr>
              <w:spacing w:after="0" w:before="0"/>
            </w:pPr>
            <w:r>
              <w:rPr>
                <w:sz w:val="13"/>
              </w:rPr>
              <w:t>FLOW</w:t>
            </w:r>
          </w:p>
        </w:tc>
        <w:tc>
          <w:tcPr>
            <w:tcW w:type="dxa" w:w="1984"/>
            <w:vAlign w:val="top"/>
          </w:tcPr>
          <w:p>
            <w:pPr>
              <w:spacing w:after="0" w:before="0"/>
            </w:pPr>
            <w:r>
              <w:rPr>
                <w:sz w:val="13"/>
              </w:rPr>
              <w:t>900 / 1.400 m³/s</w:t>
            </w:r>
          </w:p>
        </w:tc>
        <w:tc>
          <w:tcPr>
            <w:tcW w:type="dxa" w:w="1701"/>
            <w:vAlign w:val="top"/>
          </w:tcPr>
          <w:p>
            <w:pPr>
              <w:spacing w:after="0" w:before="0"/>
            </w:pPr>
            <w:r>
              <w:rPr>
                <w:sz w:val="13"/>
              </w:rPr>
              <w:t>1.900 m³/s</w:t>
            </w:r>
          </w:p>
        </w:tc>
        <w:tc>
          <w:tcPr>
            <w:tcW w:type="dxa" w:w="1701"/>
            <w:vAlign w:val="top"/>
          </w:tcPr>
          <w:p>
            <w:pPr>
              <w:spacing w:after="0" w:before="0"/>
            </w:pPr>
            <w:r>
              <w:rPr>
                <w:sz w:val="13"/>
              </w:rPr>
              <w:t>PRIMARY_TARGET</w:t>
            </w:r>
          </w:p>
        </w:tc>
      </w:tr>
      <w:tr>
        <w:trPr>
          <w:cantSplit w:val="true"/>
        </w:trPr>
        <w:tc>
          <w:tcPr>
            <w:tcW w:type="dxa" w:w="1814"/>
            <w:vAlign w:val="top"/>
          </w:tcPr>
          <w:p>
            <w:pPr>
              <w:spacing w:after="0" w:before="0"/>
            </w:pPr>
            <w:r>
              <w:rPr>
                <w:sz w:val="13"/>
              </w:rPr>
              <w:t>NW_VARAITA</w:t>
            </w:r>
          </w:p>
        </w:tc>
        <w:tc>
          <w:tcPr>
            <w:tcW w:type="dxa" w:w="2268"/>
            <w:vAlign w:val="top"/>
          </w:tcPr>
          <w:p>
            <w:pPr>
              <w:spacing w:after="0" w:before="0"/>
            </w:pPr>
            <w:r>
              <w:rPr>
                <w:sz w:val="13"/>
              </w:rPr>
              <w:t>POLONGHERA VARAITA</w:t>
            </w:r>
          </w:p>
        </w:tc>
        <w:tc>
          <w:tcPr>
            <w:tcW w:type="dxa" w:w="964"/>
            <w:vAlign w:val="top"/>
          </w:tcPr>
          <w:p>
            <w:pPr>
              <w:spacing w:after="0" w:before="0"/>
            </w:pPr>
            <w:r>
              <w:rPr>
                <w:sz w:val="13"/>
              </w:rPr>
              <w:t>FLOW</w:t>
            </w:r>
          </w:p>
        </w:tc>
        <w:tc>
          <w:tcPr>
            <w:tcW w:type="dxa" w:w="1984"/>
            <w:vAlign w:val="top"/>
          </w:tcPr>
          <w:p>
            <w:pPr>
              <w:spacing w:after="0" w:before="0"/>
            </w:pPr>
            <w:r>
              <w:rPr>
                <w:sz w:val="13"/>
              </w:rPr>
              <w:t>150 / 220 m³/s</w:t>
            </w:r>
          </w:p>
        </w:tc>
        <w:tc>
          <w:tcPr>
            <w:tcW w:type="dxa" w:w="1701"/>
            <w:vAlign w:val="top"/>
          </w:tcPr>
          <w:p>
            <w:pPr>
              <w:spacing w:after="0" w:before="0"/>
            </w:pPr>
            <w:r>
              <w:rPr>
                <w:sz w:val="13"/>
              </w:rPr>
              <w:t>350 m³/s</w:t>
            </w:r>
          </w:p>
        </w:tc>
        <w:tc>
          <w:tcPr>
            <w:tcW w:type="dxa" w:w="1701"/>
            <w:vAlign w:val="top"/>
          </w:tcPr>
          <w:p>
            <w:pPr>
              <w:spacing w:after="0" w:before="0"/>
            </w:pPr>
            <w:r>
              <w:rPr>
                <w:sz w:val="13"/>
              </w:rPr>
              <w:t>PRIMARY_TARGET</w:t>
            </w:r>
          </w:p>
        </w:tc>
      </w:tr>
    </w:tbl>
    <w:p/>
    <w:tbl>
      <w:tblPr>
        <w:tblStyle w:val="TableGrid"/>
        <w:tblW w:type="auto" w:w="0"/>
        <w:jc w:val="center"/>
        <w:tblLook w:firstColumn="1" w:firstRow="1" w:lastColumn="0" w:lastRow="0" w:noHBand="0" w:noVBand="1" w:val="04A0"/>
      </w:tblPr>
      <w:tblGrid>
        <w:gridCol w:w="9858"/>
      </w:tblGrid>
      <w:tr>
        <w:tc>
          <w:tcPr>
            <w:tcW w:type="dxa" w:w="9858"/>
            <w:shd w:fill="F3F6F8"/>
          </w:tcPr>
          <w:p>
            <w:pPr>
              <w:spacing w:after="0"/>
            </w:pPr>
            <w:r>
              <w:rPr>
                <w:b/>
              </w:rPr>
              <w:t xml:space="preserve">Nota — </w:t>
            </w:r>
            <w:r>
              <w:t>Le soglie riportate sono il registry operativo ufficiale corrente verificato nel progetto. Non vengono assunte come storicamente invarianti dal 1987 e non sono state usate per costruire le label retrospective Q95.</w:t>
            </w:r>
          </w:p>
        </w:tc>
      </w:tr>
    </w:tbl>
    <w:p/>
    <w:p>
      <w:pPr>
        <w:pStyle w:val="Heading1"/>
      </w:pPr>
      <w:r>
        <w:t>Appendice B — Metriche finali del modello</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rPr>
          <w:tblHeader w:val="true"/>
          <w:cantSplit w:val="true"/>
        </w:trPr>
        <w:tc>
          <w:tcPr>
            <w:tcW w:type="dxa" w:w="1134"/>
            <w:shd w:fill="D9EAF7"/>
            <w:vAlign w:val="center"/>
          </w:tcPr>
          <w:p>
            <w:pPr>
              <w:jc w:val="center"/>
            </w:pPr>
            <w:r>
              <w:rPr>
                <w:b/>
                <w:sz w:val="16"/>
              </w:rPr>
              <w:t>Orizzonte</w:t>
            </w:r>
          </w:p>
        </w:tc>
        <w:tc>
          <w:tcPr>
            <w:tcW w:type="dxa" w:w="1134"/>
            <w:shd w:fill="D9EAF7"/>
            <w:vAlign w:val="center"/>
          </w:tcPr>
          <w:p>
            <w:pPr>
              <w:jc w:val="center"/>
            </w:pPr>
            <w:r>
              <w:rPr>
                <w:b/>
                <w:sz w:val="16"/>
              </w:rPr>
              <w:t>AP</w:t>
            </w:r>
          </w:p>
        </w:tc>
        <w:tc>
          <w:tcPr>
            <w:tcW w:type="dxa" w:w="1814"/>
            <w:shd w:fill="D9EAF7"/>
            <w:vAlign w:val="center"/>
          </w:tcPr>
          <w:p>
            <w:pPr>
              <w:jc w:val="center"/>
            </w:pPr>
            <w:r>
              <w:rPr>
                <w:b/>
                <w:sz w:val="16"/>
              </w:rPr>
              <w:t>IC 95% AP</w:t>
            </w:r>
          </w:p>
        </w:tc>
        <w:tc>
          <w:tcPr>
            <w:tcW w:type="dxa" w:w="1304"/>
            <w:shd w:fill="D9EAF7"/>
            <w:vAlign w:val="center"/>
          </w:tcPr>
          <w:p>
            <w:pPr>
              <w:jc w:val="center"/>
            </w:pPr>
            <w:r>
              <w:rPr>
                <w:b/>
                <w:sz w:val="16"/>
              </w:rPr>
              <w:t>ROC-AUC</w:t>
            </w:r>
          </w:p>
        </w:tc>
        <w:tc>
          <w:tcPr>
            <w:tcW w:type="dxa" w:w="1814"/>
            <w:shd w:fill="D9EAF7"/>
            <w:vAlign w:val="center"/>
          </w:tcPr>
          <w:p>
            <w:pPr>
              <w:jc w:val="center"/>
            </w:pPr>
            <w:r>
              <w:rPr>
                <w:b/>
                <w:sz w:val="16"/>
              </w:rPr>
              <w:t>IC 95% ROC</w:t>
            </w:r>
          </w:p>
        </w:tc>
        <w:tc>
          <w:tcPr>
            <w:tcW w:type="dxa" w:w="1134"/>
            <w:shd w:fill="D9EAF7"/>
            <w:vAlign w:val="center"/>
          </w:tcPr>
          <w:p>
            <w:pPr>
              <w:jc w:val="center"/>
            </w:pPr>
            <w:r>
              <w:rPr>
                <w:b/>
                <w:sz w:val="16"/>
              </w:rPr>
              <w:t>Brier</w:t>
            </w:r>
          </w:p>
        </w:tc>
        <w:tc>
          <w:tcPr>
            <w:tcW w:type="dxa" w:w="1814"/>
            <w:shd w:fill="D9EAF7"/>
            <w:vAlign w:val="center"/>
          </w:tcPr>
          <w:p>
            <w:pPr>
              <w:jc w:val="center"/>
            </w:pPr>
            <w:r>
              <w:rPr>
                <w:b/>
                <w:sz w:val="16"/>
              </w:rPr>
              <w:t>IC 95% Brier</w:t>
            </w:r>
          </w:p>
        </w:tc>
        <w:tc>
          <w:tcPr>
            <w:tcW w:type="dxa" w:w="1361"/>
            <w:shd w:fill="D9EAF7"/>
            <w:vAlign w:val="center"/>
          </w:tcPr>
          <w:p>
            <w:pPr>
              <w:jc w:val="center"/>
            </w:pPr>
            <w:r>
              <w:rPr>
                <w:b/>
                <w:sz w:val="16"/>
              </w:rPr>
              <w:t>Brier Skill</w:t>
            </w:r>
          </w:p>
        </w:tc>
      </w:tr>
      <w:tr>
        <w:trPr>
          <w:cantSplit w:val="true"/>
        </w:trPr>
        <w:tc>
          <w:tcPr>
            <w:tcW w:type="dxa" w:w="1134"/>
            <w:vAlign w:val="top"/>
          </w:tcPr>
          <w:p>
            <w:pPr>
              <w:spacing w:after="0" w:before="0"/>
            </w:pPr>
            <w:r>
              <w:rPr>
                <w:sz w:val="16"/>
              </w:rPr>
              <w:t>24 h</w:t>
            </w:r>
          </w:p>
        </w:tc>
        <w:tc>
          <w:tcPr>
            <w:tcW w:type="dxa" w:w="1134"/>
            <w:vAlign w:val="top"/>
          </w:tcPr>
          <w:p>
            <w:pPr>
              <w:spacing w:after="0" w:before="0"/>
            </w:pPr>
            <w:r>
              <w:rPr>
                <w:sz w:val="16"/>
              </w:rPr>
              <w:t>0,4086</w:t>
            </w:r>
          </w:p>
        </w:tc>
        <w:tc>
          <w:tcPr>
            <w:tcW w:type="dxa" w:w="1814"/>
            <w:vAlign w:val="top"/>
          </w:tcPr>
          <w:p>
            <w:pPr>
              <w:spacing w:after="0" w:before="0"/>
            </w:pPr>
            <w:r>
              <w:rPr>
                <w:sz w:val="16"/>
              </w:rPr>
              <w:t>0,3026–0,5155</w:t>
            </w:r>
          </w:p>
        </w:tc>
        <w:tc>
          <w:tcPr>
            <w:tcW w:type="dxa" w:w="1304"/>
            <w:vAlign w:val="top"/>
          </w:tcPr>
          <w:p>
            <w:pPr>
              <w:spacing w:after="0" w:before="0"/>
            </w:pPr>
            <w:r>
              <w:rPr>
                <w:sz w:val="16"/>
              </w:rPr>
              <w:t>0,8747</w:t>
            </w:r>
          </w:p>
        </w:tc>
        <w:tc>
          <w:tcPr>
            <w:tcW w:type="dxa" w:w="1814"/>
            <w:vAlign w:val="top"/>
          </w:tcPr>
          <w:p>
            <w:pPr>
              <w:spacing w:after="0" w:before="0"/>
            </w:pPr>
            <w:r>
              <w:rPr>
                <w:sz w:val="16"/>
              </w:rPr>
              <w:t>0,8309–0,9287</w:t>
            </w:r>
          </w:p>
        </w:tc>
        <w:tc>
          <w:tcPr>
            <w:tcW w:type="dxa" w:w="1134"/>
            <w:vAlign w:val="top"/>
          </w:tcPr>
          <w:p>
            <w:pPr>
              <w:spacing w:after="0" w:before="0"/>
            </w:pPr>
            <w:r>
              <w:rPr>
                <w:sz w:val="16"/>
              </w:rPr>
              <w:t>0,0320</w:t>
            </w:r>
          </w:p>
        </w:tc>
        <w:tc>
          <w:tcPr>
            <w:tcW w:type="dxa" w:w="1814"/>
            <w:vAlign w:val="top"/>
          </w:tcPr>
          <w:p>
            <w:pPr>
              <w:spacing w:after="0" w:before="0"/>
            </w:pPr>
            <w:r>
              <w:rPr>
                <w:sz w:val="16"/>
              </w:rPr>
              <w:t>0,0210–0,0447</w:t>
            </w:r>
          </w:p>
        </w:tc>
        <w:tc>
          <w:tcPr>
            <w:tcW w:type="dxa" w:w="1361"/>
            <w:vAlign w:val="top"/>
          </w:tcPr>
          <w:p>
            <w:pPr>
              <w:spacing w:after="0" w:before="0"/>
            </w:pPr>
            <w:r>
              <w:rPr>
                <w:sz w:val="16"/>
              </w:rPr>
              <w:t>+0,2319</w:t>
            </w:r>
          </w:p>
        </w:tc>
      </w:tr>
      <w:tr>
        <w:trPr>
          <w:cantSplit w:val="true"/>
        </w:trPr>
        <w:tc>
          <w:tcPr>
            <w:tcW w:type="dxa" w:w="1134"/>
            <w:vAlign w:val="top"/>
          </w:tcPr>
          <w:p>
            <w:pPr>
              <w:spacing w:after="0" w:before="0"/>
            </w:pPr>
            <w:r>
              <w:rPr>
                <w:sz w:val="16"/>
              </w:rPr>
              <w:t>48 h</w:t>
            </w:r>
          </w:p>
        </w:tc>
        <w:tc>
          <w:tcPr>
            <w:tcW w:type="dxa" w:w="1134"/>
            <w:vAlign w:val="top"/>
          </w:tcPr>
          <w:p>
            <w:pPr>
              <w:spacing w:after="0" w:before="0"/>
            </w:pPr>
            <w:r>
              <w:rPr>
                <w:sz w:val="16"/>
              </w:rPr>
              <w:t>0,3361</w:t>
            </w:r>
          </w:p>
        </w:tc>
        <w:tc>
          <w:tcPr>
            <w:tcW w:type="dxa" w:w="1814"/>
            <w:vAlign w:val="top"/>
          </w:tcPr>
          <w:p>
            <w:pPr>
              <w:spacing w:after="0" w:before="0"/>
            </w:pPr>
            <w:r>
              <w:rPr>
                <w:sz w:val="16"/>
              </w:rPr>
              <w:t>0,2529–0,4201</w:t>
            </w:r>
          </w:p>
        </w:tc>
        <w:tc>
          <w:tcPr>
            <w:tcW w:type="dxa" w:w="1304"/>
            <w:vAlign w:val="top"/>
          </w:tcPr>
          <w:p>
            <w:pPr>
              <w:spacing w:after="0" w:before="0"/>
            </w:pPr>
            <w:r>
              <w:rPr>
                <w:sz w:val="16"/>
              </w:rPr>
              <w:t>0,8364</w:t>
            </w:r>
          </w:p>
        </w:tc>
        <w:tc>
          <w:tcPr>
            <w:tcW w:type="dxa" w:w="1814"/>
            <w:vAlign w:val="top"/>
          </w:tcPr>
          <w:p>
            <w:pPr>
              <w:spacing w:after="0" w:before="0"/>
            </w:pPr>
            <w:r>
              <w:rPr>
                <w:sz w:val="16"/>
              </w:rPr>
              <w:t>0,8006–0,8768</w:t>
            </w:r>
          </w:p>
        </w:tc>
        <w:tc>
          <w:tcPr>
            <w:tcW w:type="dxa" w:w="1134"/>
            <w:vAlign w:val="top"/>
          </w:tcPr>
          <w:p>
            <w:pPr>
              <w:spacing w:after="0" w:before="0"/>
            </w:pPr>
            <w:r>
              <w:rPr>
                <w:sz w:val="16"/>
              </w:rPr>
              <w:t>0,0450</w:t>
            </w:r>
          </w:p>
        </w:tc>
        <w:tc>
          <w:tcPr>
            <w:tcW w:type="dxa" w:w="1814"/>
            <w:vAlign w:val="top"/>
          </w:tcPr>
          <w:p>
            <w:pPr>
              <w:spacing w:after="0" w:before="0"/>
            </w:pPr>
            <w:r>
              <w:rPr>
                <w:sz w:val="16"/>
              </w:rPr>
              <w:t>0,0328–0,0589</w:t>
            </w:r>
          </w:p>
        </w:tc>
        <w:tc>
          <w:tcPr>
            <w:tcW w:type="dxa" w:w="1361"/>
            <w:vAlign w:val="top"/>
          </w:tcPr>
          <w:p>
            <w:pPr>
              <w:spacing w:after="0" w:before="0"/>
            </w:pPr>
            <w:r>
              <w:rPr>
                <w:sz w:val="16"/>
              </w:rPr>
              <w:t>+0,1732</w:t>
            </w:r>
          </w:p>
        </w:tc>
      </w:tr>
      <w:tr>
        <w:trPr>
          <w:cantSplit w:val="true"/>
        </w:trPr>
        <w:tc>
          <w:tcPr>
            <w:tcW w:type="dxa" w:w="1134"/>
            <w:vAlign w:val="top"/>
          </w:tcPr>
          <w:p>
            <w:pPr>
              <w:spacing w:after="0" w:before="0"/>
            </w:pPr>
            <w:r>
              <w:rPr>
                <w:sz w:val="16"/>
              </w:rPr>
              <w:t>72 h</w:t>
            </w:r>
          </w:p>
        </w:tc>
        <w:tc>
          <w:tcPr>
            <w:tcW w:type="dxa" w:w="1134"/>
            <w:vAlign w:val="top"/>
          </w:tcPr>
          <w:p>
            <w:pPr>
              <w:spacing w:after="0" w:before="0"/>
            </w:pPr>
            <w:r>
              <w:rPr>
                <w:sz w:val="16"/>
              </w:rPr>
              <w:t>0,2906</w:t>
            </w:r>
          </w:p>
        </w:tc>
        <w:tc>
          <w:tcPr>
            <w:tcW w:type="dxa" w:w="1814"/>
            <w:vAlign w:val="top"/>
          </w:tcPr>
          <w:p>
            <w:pPr>
              <w:spacing w:after="0" w:before="0"/>
            </w:pPr>
            <w:r>
              <w:rPr>
                <w:sz w:val="16"/>
              </w:rPr>
              <w:t>0,2233–0,3669</w:t>
            </w:r>
          </w:p>
        </w:tc>
        <w:tc>
          <w:tcPr>
            <w:tcW w:type="dxa" w:w="1304"/>
            <w:vAlign w:val="top"/>
          </w:tcPr>
          <w:p>
            <w:pPr>
              <w:spacing w:after="0" w:before="0"/>
            </w:pPr>
            <w:r>
              <w:rPr>
                <w:sz w:val="16"/>
              </w:rPr>
              <w:t>0,8099</w:t>
            </w:r>
          </w:p>
        </w:tc>
        <w:tc>
          <w:tcPr>
            <w:tcW w:type="dxa" w:w="1814"/>
            <w:vAlign w:val="top"/>
          </w:tcPr>
          <w:p>
            <w:pPr>
              <w:spacing w:after="0" w:before="0"/>
            </w:pPr>
            <w:r>
              <w:rPr>
                <w:sz w:val="16"/>
              </w:rPr>
              <w:t>0,7861–0,8344</w:t>
            </w:r>
          </w:p>
        </w:tc>
        <w:tc>
          <w:tcPr>
            <w:tcW w:type="dxa" w:w="1134"/>
            <w:vAlign w:val="top"/>
          </w:tcPr>
          <w:p>
            <w:pPr>
              <w:spacing w:after="0" w:before="0"/>
            </w:pPr>
            <w:r>
              <w:rPr>
                <w:sz w:val="16"/>
              </w:rPr>
              <w:t>0,0588</w:t>
            </w:r>
          </w:p>
        </w:tc>
        <w:tc>
          <w:tcPr>
            <w:tcW w:type="dxa" w:w="1814"/>
            <w:vAlign w:val="top"/>
          </w:tcPr>
          <w:p>
            <w:pPr>
              <w:spacing w:after="0" w:before="0"/>
            </w:pPr>
            <w:r>
              <w:rPr>
                <w:sz w:val="16"/>
              </w:rPr>
              <w:t>0,0461–0,0725</w:t>
            </w:r>
          </w:p>
        </w:tc>
        <w:tc>
          <w:tcPr>
            <w:tcW w:type="dxa" w:w="1361"/>
            <w:vAlign w:val="top"/>
          </w:tcPr>
          <w:p>
            <w:pPr>
              <w:spacing w:after="0" w:before="0"/>
            </w:pPr>
            <w:r>
              <w:rPr>
                <w:sz w:val="16"/>
              </w:rPr>
              <w:t>+0,1142</w:t>
            </w:r>
          </w:p>
        </w:tc>
      </w:tr>
    </w:tbl>
    <w:p/>
    <w:p>
      <w:pPr>
        <w:pStyle w:val="ProjectCaption"/>
      </w:pPr>
      <w:r>
        <w:t>Provenienza interna del riepilogo: documenti di riepilogo del progetto del 21 agosto 2026; metodologie e registry interregionali; log/audit dei preflight, freeze e benchmark eseguiti fino al 25 agosto 2026; artefatti canonici presenti nella cartella di progetto indicata nel controllo del documento.</w:t>
      </w:r>
    </w:p>
    <w:sectPr w:rsidR="00FC693F" w:rsidRPr="0006063C" w:rsidSect="00034616">
      <w:headerReference w:type="default" r:id="rId9"/>
      <w:footerReference w:type="default" r:id="rId10"/>
      <w:pgSz w:w="12240" w:h="15840"/>
      <w:pgMar w:top="1134" w:right="1191" w:bottom="1020"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Pagina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6"/>
      </w:rPr>
      <w:t>Meteorologia e cura del territorio — NW HydroClimate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F5F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val="0"/>
      <w:iCs/>
      <w:color w:val="3F5F7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jectCaption">
    <w:name w:val="Project Caption"/>
    <w:pPr>
      <w:spacing w:after="80"/>
    </w:pPr>
    <w:rPr>
      <w:rFonts w:ascii="Arial" w:hAnsi="Arial"/>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Riepilogo conclusivo NW HydroClimate — Master dataset e modello regionale</dc:title>
  <dc:subject>Meteorologia e cura del territorio — chiusura Fase 9 e Fase 10</dc:subject>
  <dc:creator>Progetto Meteorologia e cura del territorio</dc:creator>
  <cp:keywords>NW HydroClimate, MedSea, ERA5, idrologia, alluvioni, master dataset, modello, Piemonte, Liguria, Valle d’Aosta</cp:keywords>
  <dc:description>Stato al 25 agosto 2026</dc:description>
  <cp:lastModifiedBy/>
  <cp:revision>1</cp:revision>
  <dcterms:created xsi:type="dcterms:W3CDTF">2013-12-23T23:15:00Z</dcterms:created>
  <dcterms:modified xsi:type="dcterms:W3CDTF">2013-12-23T23:15:00Z</dcterms:modified>
  <cp:category/>
</cp:coreProperties>
</file>