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Prévision</w:t>
      </w:r>
      <w:r>
        <w:t xml:space="preserve"> </w:t>
      </w:r>
      <w:r>
        <w:t xml:space="preserve">statistique</w:t>
      </w:r>
      <w:r>
        <w:t xml:space="preserve"> </w:t>
      </w:r>
      <w:r>
        <w:t xml:space="preserve">à</w:t>
      </w:r>
      <w:r>
        <w:t xml:space="preserve"> </w:t>
      </w:r>
      <w:r>
        <w:t xml:space="preserve">7</w:t>
      </w:r>
      <w:r>
        <w:t xml:space="preserve"> </w:t>
      </w:r>
      <w:r>
        <w:t xml:space="preserve">jours</w:t>
      </w:r>
      <w:r>
        <w:t xml:space="preserve"> </w:t>
      </w:r>
      <w:r>
        <w:t xml:space="preserve">COVID-19</w:t>
      </w:r>
      <w:r>
        <w:br/>
      </w:r>
      <w:r>
        <w:t xml:space="preserve">basée</w:t>
      </w:r>
      <w:r>
        <w:t xml:space="preserve"> </w:t>
      </w:r>
      <w:r>
        <w:t xml:space="preserve">sur</w:t>
      </w:r>
      <w:r>
        <w:t xml:space="preserve"> </w:t>
      </w:r>
      <w:r>
        <w:t xml:space="preserve">les</w:t>
      </w:r>
      <w:r>
        <w:t xml:space="preserve"> </w:t>
      </w:r>
      <w:r>
        <w:t xml:space="preserve">10</w:t>
      </w:r>
      <w:r>
        <w:t xml:space="preserve"> </w:t>
      </w:r>
      <w:r>
        <w:t xml:space="preserve">derniers</w:t>
      </w:r>
      <w:r>
        <w:t xml:space="preserve"> </w:t>
      </w:r>
      <w:r>
        <w:t xml:space="preserve">jours</w:t>
      </w:r>
      <w:r>
        <w:t xml:space="preserve"> </w:t>
      </w:r>
      <w:r>
        <w:t xml:space="preserve">d’observation</w:t>
      </w:r>
    </w:p>
    <w:p>
      <w:pPr>
        <w:pStyle w:val="Author"/>
      </w:pPr>
      <w:r>
        <w:t xml:space="preserve">PG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avril</w:t>
      </w:r>
      <w:r>
        <w:t xml:space="preserve"> </w:t>
      </w:r>
      <w:r>
        <w:t xml:space="preserve">2020</w:t>
      </w:r>
      <w:r>
        <w:t xml:space="preserve"> </w:t>
      </w:r>
      <w:r>
        <w:t xml:space="preserve">15:09</w:t>
      </w:r>
    </w:p>
    <w:p>
      <w:pPr>
        <w:pStyle w:val="Heading1"/>
      </w:pPr>
      <w:bookmarkStart w:id="20" w:name="principe-du-modèle"/>
      <w:r>
        <w:t xml:space="preserve">Principe du modèle</w:t>
      </w:r>
      <w:bookmarkEnd w:id="20"/>
    </w:p>
    <w:p>
      <w:pPr>
        <w:pStyle w:val="FirstParagraph"/>
      </w:pPr>
      <w:r>
        <w:t xml:space="preserve">On calcule les paramètres d’un modèle linéaire (</w:t>
      </w:r>
      <m:oMath>
        <m:r>
          <m:t>c</m:t>
        </m:r>
        <m:r>
          <m:t>a</m:t>
        </m:r>
        <m:r>
          <m:t>s</m:t>
        </m:r>
        <m:r>
          <m:t>=</m:t>
        </m:r>
        <m:r>
          <m:t>a</m:t>
        </m:r>
        <m:r>
          <m:t>+</m:t>
        </m:r>
        <m:r>
          <m:t>b</m:t>
        </m:r>
        <m:r>
          <m:t>.</m:t>
        </m:r>
        <m:r>
          <m:t>t</m:t>
        </m:r>
        <m:r>
          <m:t>e</m:t>
        </m:r>
        <m:r>
          <m:t>m</m:t>
        </m:r>
        <m:r>
          <m:t>p</m:t>
        </m:r>
        <m:r>
          <m:t>s</m:t>
        </m:r>
      </m:oMath>
      <w:r>
        <w:t xml:space="preserve">), d’un modèle exponentiel (</w:t>
      </w:r>
      <m:oMath>
        <m:r>
          <m:t>l</m:t>
        </m:r>
        <m:r>
          <m:t>n</m:t>
        </m:r>
        <m:r>
          <m:t>(</m:t>
        </m:r>
        <m:r>
          <m:t>c</m:t>
        </m:r>
        <m:r>
          <m:t>a</m:t>
        </m:r>
        <m:r>
          <m:t>s</m:t>
        </m:r>
        <m:r>
          <m:t>)</m:t>
        </m:r>
        <m:r>
          <m:t>=</m:t>
        </m:r>
        <m:r>
          <m:t>a</m:t>
        </m:r>
        <m:r>
          <m:t>+</m:t>
        </m:r>
        <m:r>
          <m:t>b</m:t>
        </m:r>
        <m:r>
          <m:t>.</m:t>
        </m:r>
        <m:r>
          <m:t>t</m:t>
        </m:r>
        <m:r>
          <m:t>e</m:t>
        </m:r>
        <m:r>
          <m:t>m</m:t>
        </m:r>
        <m:r>
          <m:t>p</m:t>
        </m:r>
        <m:r>
          <m:t>s</m:t>
        </m:r>
      </m:oMath>
      <w:r>
        <w:t xml:space="preserve">) et d’un modèle log-log (</w:t>
      </w:r>
      <m:oMath>
        <m:r>
          <m:t>l</m:t>
        </m:r>
        <m:r>
          <m:t>n</m:t>
        </m:r>
        <m:r>
          <m:t>(</m:t>
        </m:r>
        <m:r>
          <m:t>c</m:t>
        </m:r>
        <m:r>
          <m:t>a</m:t>
        </m:r>
        <m:r>
          <m:t>s</m:t>
        </m:r>
        <m:r>
          <m:t>)</m:t>
        </m:r>
        <m:r>
          <m:t>=</m:t>
        </m:r>
        <m:r>
          <m:t>a</m:t>
        </m:r>
        <m:r>
          <m:t>+</m:t>
        </m:r>
        <m:r>
          <m:t>l</m:t>
        </m:r>
        <m:r>
          <m:t>n</m:t>
        </m:r>
        <m:r>
          <m:t>(</m:t>
        </m:r>
        <m:r>
          <m:t>t</m:t>
        </m:r>
        <m:r>
          <m:t>e</m:t>
        </m:r>
        <m:r>
          <m:t>m</m:t>
        </m:r>
        <m:r>
          <m:t>p</m:t>
        </m:r>
        <m:r>
          <m:t>s</m:t>
        </m:r>
        <m:r>
          <m:t>)</m:t>
        </m:r>
      </m:oMath>
      <w:r>
        <w:t xml:space="preserve"> </w:t>
      </w:r>
      <w:r>
        <w:t xml:space="preserve">sur les 10 derniers jours d’une série d’observation. On compare leurs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et on utilise le meilleur modèle (celui qui a le plus petit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pour prédire le nombre de cas au Jt</w:t>
      </w:r>
      <w:r>
        <w:rPr>
          <w:vertAlign w:val="superscript"/>
        </w:rPr>
        <w:t xml:space="preserve">ième</w:t>
      </w:r>
      <w:r>
        <w:t xml:space="preserve"> </w:t>
      </w:r>
      <w:r>
        <w:t xml:space="preserve">jour après la fin de la série.</w:t>
      </w:r>
    </w:p>
    <w:p>
      <w:pPr>
        <w:pStyle w:val="BodyText"/>
      </w:pPr>
      <w:r>
        <w:t xml:space="preserve">Pour la validation voir fichier</w:t>
      </w:r>
      <w:r>
        <w:t xml:space="preserve"> </w:t>
      </w:r>
      <w:r>
        <w:t xml:space="preserve">‘</w:t>
      </w:r>
      <w:r>
        <w:t xml:space="preserve">Report_200406_test_model.docx</w:t>
      </w:r>
      <w:r>
        <w:t xml:space="preserve">’</w:t>
      </w:r>
    </w:p>
    <w:p>
      <w:pPr>
        <w:pStyle w:val="Heading1"/>
      </w:pPr>
      <w:bookmarkStart w:id="21" w:name="origine-des-données"/>
      <w:r>
        <w:t xml:space="preserve">Origine des données</w:t>
      </w:r>
      <w:bookmarkEnd w:id="21"/>
    </w:p>
    <w:p>
      <w:pPr>
        <w:pStyle w:val="FirstParagraph"/>
      </w:pPr>
      <w:r>
        <w:t xml:space="preserve">ECDC:</w:t>
      </w:r>
      <w:r>
        <w:t xml:space="preserve"> </w:t>
      </w:r>
      <w:hyperlink r:id="rId22">
        <w:r>
          <w:rPr>
            <w:rStyle w:val="Hyperlink"/>
          </w:rPr>
          <w:t xml:space="preserve">https://opendata.ecdc.europa.eu/covid19/casedistribution/csv</w:t>
        </w:r>
      </w:hyperlink>
    </w:p>
    <w:p>
      <w:pPr>
        <w:pStyle w:val="Heading1"/>
      </w:pPr>
      <w:bookmarkStart w:id="23" w:name="sélection-des-séries"/>
      <w:r>
        <w:t xml:space="preserve">Sélection des séries</w:t>
      </w:r>
      <w:bookmarkEnd w:id="23"/>
    </w:p>
    <w:p>
      <w:pPr>
        <w:pStyle w:val="FirstParagraph"/>
      </w:pPr>
      <w:r>
        <w:t xml:space="preserve">Les prévisions sont faites sur les séries d’au moins 10 jours à partir du 1</w:t>
      </w:r>
      <w:r>
        <w:rPr>
          <w:vertAlign w:val="superscript"/>
        </w:rPr>
        <w:t xml:space="preserve">er</w:t>
      </w:r>
      <w:r>
        <w:t xml:space="preserve"> </w:t>
      </w:r>
      <w:r>
        <w:t xml:space="preserve">cas.</w:t>
      </w:r>
    </w:p>
    <w:p>
      <w:pPr>
        <w:pStyle w:val="BodyText"/>
      </w:pPr>
      <w:r>
        <w:t xml:space="preserve">45 pays satisfont aux critères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0407_prévis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révisions-à-7-jours"/>
      <w:r>
        <w:t xml:space="preserve">Prévisions à 7 jours</w:t>
      </w:r>
      <w:bookmarkEnd w:id="25"/>
    </w:p>
    <w:p>
      <w:pPr>
        <w:pStyle w:val="SourceCode"/>
      </w:pPr>
      <w:r>
        <w:rPr>
          <w:rStyle w:val="VerbatimChar"/>
        </w:rPr>
        <w:t xml:space="preserve">## Dernier jour de mesure: 2020-04-07</w:t>
      </w:r>
    </w:p>
    <w:p>
      <w:pPr>
        <w:pStyle w:val="SourceCode"/>
      </w:pPr>
      <w:r>
        <w:rPr>
          <w:rStyle w:val="VerbatimChar"/>
        </w:rPr>
        <w:t xml:space="preserve">## Prévisions pour le: 2020-04-14</w:t>
      </w:r>
    </w:p>
    <w:p>
      <w:pPr>
        <w:pStyle w:val="SourceCode"/>
      </w:pPr>
      <w:r>
        <w:rPr>
          <w:rStyle w:val="VerbatimChar"/>
        </w:rPr>
        <w:t xml:space="preserve">##                             country casJ pred7   r2 model</w:t>
      </w:r>
      <w:r>
        <w:br/>
      </w:r>
      <w:r>
        <w:rPr>
          <w:rStyle w:val="VerbatimChar"/>
        </w:rPr>
        <w:t xml:space="preserve">## 1                            Angola   16    21 0.78   lin</w:t>
      </w:r>
      <w:r>
        <w:br/>
      </w:r>
      <w:r>
        <w:rPr>
          <w:rStyle w:val="VerbatimChar"/>
        </w:rPr>
        <w:t xml:space="preserve">## 2                           Algeria 1423  2286 0.96   lin</w:t>
      </w:r>
      <w:r>
        <w:br/>
      </w:r>
      <w:r>
        <w:rPr>
          <w:rStyle w:val="VerbatimChar"/>
        </w:rPr>
        <w:t xml:space="preserve">## 3                             Benin   26    39 0.91   lin</w:t>
      </w:r>
      <w:r>
        <w:br/>
      </w:r>
      <w:r>
        <w:rPr>
          <w:rStyle w:val="VerbatimChar"/>
        </w:rPr>
        <w:t xml:space="preserve">## 4                      Burkina_Faso  364   645 0.95   exp</w:t>
      </w:r>
      <w:r>
        <w:br/>
      </w:r>
      <w:r>
        <w:rPr>
          <w:rStyle w:val="VerbatimChar"/>
        </w:rPr>
        <w:t xml:space="preserve">## 5                          Cameroon  658  1173 0.92   lin</w:t>
      </w:r>
      <w:r>
        <w:br/>
      </w:r>
      <w:r>
        <w:rPr>
          <w:rStyle w:val="VerbatimChar"/>
        </w:rPr>
        <w:t xml:space="preserve">## 6                        Cape_Verde    7     9 0.87   log</w:t>
      </w:r>
      <w:r>
        <w:br/>
      </w:r>
      <w:r>
        <w:rPr>
          <w:rStyle w:val="VerbatimChar"/>
        </w:rPr>
        <w:t xml:space="preserve">## 7          Central_African_Republic    9    12 0.84   log</w:t>
      </w:r>
      <w:r>
        <w:br/>
      </w:r>
      <w:r>
        <w:rPr>
          <w:rStyle w:val="VerbatimChar"/>
        </w:rPr>
        <w:t xml:space="preserve">## 8                              Chad    9    14 0.81   exp</w:t>
      </w:r>
      <w:r>
        <w:br/>
      </w:r>
      <w:r>
        <w:rPr>
          <w:rStyle w:val="VerbatimChar"/>
        </w:rPr>
        <w:t xml:space="preserve">## 9                             Congo   45    87 0.83   log</w:t>
      </w:r>
      <w:r>
        <w:br/>
      </w:r>
      <w:r>
        <w:rPr>
          <w:rStyle w:val="VerbatimChar"/>
        </w:rPr>
        <w:t xml:space="preserve">## 10                     Cote_dIvoire  323   406 0.88   lin</w:t>
      </w:r>
      <w:r>
        <w:br/>
      </w:r>
      <w:r>
        <w:rPr>
          <w:rStyle w:val="VerbatimChar"/>
        </w:rPr>
        <w:t xml:space="preserve">## 11 Democratic_Republic_of_the_Congo  161   368 0.89   exp</w:t>
      </w:r>
      <w:r>
        <w:br/>
      </w:r>
      <w:r>
        <w:rPr>
          <w:rStyle w:val="VerbatimChar"/>
        </w:rPr>
        <w:t xml:space="preserve">## 12                         Djibouti   90   119 0.85   lin</w:t>
      </w:r>
      <w:r>
        <w:br/>
      </w:r>
      <w:r>
        <w:rPr>
          <w:rStyle w:val="VerbatimChar"/>
        </w:rPr>
        <w:t xml:space="preserve">## 13                            Egypt 1073  1517 0.93   lin</w:t>
      </w:r>
      <w:r>
        <w:br/>
      </w:r>
      <w:r>
        <w:rPr>
          <w:rStyle w:val="VerbatimChar"/>
        </w:rPr>
        <w:t xml:space="preserve">## 14                Equatorial_Guinea   16    19 0.86   exp</w:t>
      </w:r>
      <w:r>
        <w:br/>
      </w:r>
      <w:r>
        <w:rPr>
          <w:rStyle w:val="VerbatimChar"/>
        </w:rPr>
        <w:t xml:space="preserve">## 15                          Eritrea   31   114 0.89   exp</w:t>
      </w:r>
      <w:r>
        <w:br/>
      </w:r>
      <w:r>
        <w:rPr>
          <w:rStyle w:val="VerbatimChar"/>
        </w:rPr>
        <w:t xml:space="preserve">## 16                         Eswatini   10     9 0.12   log</w:t>
      </w:r>
      <w:r>
        <w:br/>
      </w:r>
      <w:r>
        <w:rPr>
          <w:rStyle w:val="VerbatimChar"/>
        </w:rPr>
        <w:t xml:space="preserve">## 17                         Ethiopia   44   110 0.95   exp</w:t>
      </w:r>
      <w:r>
        <w:br/>
      </w:r>
      <w:r>
        <w:rPr>
          <w:rStyle w:val="VerbatimChar"/>
        </w:rPr>
        <w:t xml:space="preserve">## 18                            Gabon   21    75 0.74   exp</w:t>
      </w:r>
      <w:r>
        <w:br/>
      </w:r>
      <w:r>
        <w:rPr>
          <w:rStyle w:val="VerbatimChar"/>
        </w:rPr>
        <w:t xml:space="preserve">## 19                           Gambia    4     5 0.42   exp</w:t>
      </w:r>
      <w:r>
        <w:br/>
      </w:r>
      <w:r>
        <w:rPr>
          <w:rStyle w:val="VerbatimChar"/>
        </w:rPr>
        <w:t xml:space="preserve">## 20                            Ghana  287   347 0.83   lin</w:t>
      </w:r>
      <w:r>
        <w:br/>
      </w:r>
      <w:r>
        <w:rPr>
          <w:rStyle w:val="VerbatimChar"/>
        </w:rPr>
        <w:t xml:space="preserve">## 21                           Guinea  128   227 0.87   lin</w:t>
      </w:r>
      <w:r>
        <w:br/>
      </w:r>
      <w:r>
        <w:rPr>
          <w:rStyle w:val="VerbatimChar"/>
        </w:rPr>
        <w:t xml:space="preserve">## 22                    Guinea_Bissau   33    46 0.84   lin</w:t>
      </w:r>
      <w:r>
        <w:br/>
      </w:r>
      <w:r>
        <w:rPr>
          <w:rStyle w:val="VerbatimChar"/>
        </w:rPr>
        <w:t xml:space="preserve">## 23                            Kenya  158   599 0.96   exp</w:t>
      </w:r>
      <w:r>
        <w:br/>
      </w:r>
      <w:r>
        <w:rPr>
          <w:rStyle w:val="VerbatimChar"/>
        </w:rPr>
        <w:t xml:space="preserve">## 24                          Liberia   14    22 0.87   lin</w:t>
      </w:r>
      <w:r>
        <w:br/>
      </w:r>
      <w:r>
        <w:rPr>
          <w:rStyle w:val="VerbatimChar"/>
        </w:rPr>
        <w:t xml:space="preserve">## 25                       Madagascar   77   176 0.93   exp</w:t>
      </w:r>
      <w:r>
        <w:br/>
      </w:r>
      <w:r>
        <w:rPr>
          <w:rStyle w:val="VerbatimChar"/>
        </w:rPr>
        <w:t xml:space="preserve">## 26                             Mali   47   187 0.88   exp</w:t>
      </w:r>
      <w:r>
        <w:br/>
      </w:r>
      <w:r>
        <w:rPr>
          <w:rStyle w:val="VerbatimChar"/>
        </w:rPr>
        <w:t xml:space="preserve">## 27                       Mauritania    6     7 0.71   log</w:t>
      </w:r>
      <w:r>
        <w:br/>
      </w:r>
      <w:r>
        <w:rPr>
          <w:rStyle w:val="VerbatimChar"/>
        </w:rPr>
        <w:t xml:space="preserve">## 28                        Mauritius  244   346 0.98   lin</w:t>
      </w:r>
      <w:r>
        <w:br/>
      </w:r>
      <w:r>
        <w:rPr>
          <w:rStyle w:val="VerbatimChar"/>
        </w:rPr>
        <w:t xml:space="preserve">## 29                          Morocco 1120  1606 0.95   lin</w:t>
      </w:r>
      <w:r>
        <w:br/>
      </w:r>
      <w:r>
        <w:rPr>
          <w:rStyle w:val="VerbatimChar"/>
        </w:rPr>
        <w:t xml:space="preserve">## 30                       Mozambique   10    13 0.69   lin</w:t>
      </w:r>
      <w:r>
        <w:br/>
      </w:r>
      <w:r>
        <w:rPr>
          <w:rStyle w:val="VerbatimChar"/>
        </w:rPr>
        <w:t xml:space="preserve">## 31                          Namibia   16    26 0.87   exp</w:t>
      </w:r>
      <w:r>
        <w:br/>
      </w:r>
      <w:r>
        <w:rPr>
          <w:rStyle w:val="VerbatimChar"/>
        </w:rPr>
        <w:t xml:space="preserve">## 32                            Niger  253   375 0.86   lin</w:t>
      </w:r>
      <w:r>
        <w:br/>
      </w:r>
      <w:r>
        <w:rPr>
          <w:rStyle w:val="VerbatimChar"/>
        </w:rPr>
        <w:t xml:space="preserve">## 33                          Nigeria  238   544 0.97   exp</w:t>
      </w:r>
      <w:r>
        <w:br/>
      </w:r>
      <w:r>
        <w:rPr>
          <w:rStyle w:val="VerbatimChar"/>
        </w:rPr>
        <w:t xml:space="preserve">## 34                           Rwanda  105   143 0.96   lin</w:t>
      </w:r>
      <w:r>
        <w:br/>
      </w:r>
      <w:r>
        <w:rPr>
          <w:rStyle w:val="VerbatimChar"/>
        </w:rPr>
        <w:t xml:space="preserve">## 35                          Senegal  226   373 0.93   exp</w:t>
      </w:r>
      <w:r>
        <w:br/>
      </w:r>
      <w:r>
        <w:rPr>
          <w:rStyle w:val="VerbatimChar"/>
        </w:rPr>
        <w:t xml:space="preserve">## 36                       Seychelles   11    14 0.54   exp</w:t>
      </w:r>
      <w:r>
        <w:br/>
      </w:r>
      <w:r>
        <w:rPr>
          <w:rStyle w:val="VerbatimChar"/>
        </w:rPr>
        <w:t xml:space="preserve">## 37                          Somalia    7    10 0.81   log</w:t>
      </w:r>
      <w:r>
        <w:br/>
      </w:r>
      <w:r>
        <w:rPr>
          <w:rStyle w:val="VerbatimChar"/>
        </w:rPr>
        <w:t xml:space="preserve">## 38                     South_Africa 1686  2056 0.98   log</w:t>
      </w:r>
      <w:r>
        <w:br/>
      </w:r>
      <w:r>
        <w:rPr>
          <w:rStyle w:val="VerbatimChar"/>
        </w:rPr>
        <w:t xml:space="preserve">## 39                            Sudan   12    17 0.84   lin</w:t>
      </w:r>
      <w:r>
        <w:br/>
      </w:r>
      <w:r>
        <w:rPr>
          <w:rStyle w:val="VerbatimChar"/>
        </w:rPr>
        <w:t xml:space="preserve">## 40                             Togo   58    68 0.82   lin</w:t>
      </w:r>
      <w:r>
        <w:br/>
      </w:r>
      <w:r>
        <w:rPr>
          <w:rStyle w:val="VerbatimChar"/>
        </w:rPr>
        <w:t xml:space="preserve">## 41                          Tunisia  574  1229 0.96   exp</w:t>
      </w:r>
      <w:r>
        <w:br/>
      </w:r>
      <w:r>
        <w:rPr>
          <w:rStyle w:val="VerbatimChar"/>
        </w:rPr>
        <w:t xml:space="preserve">## 42                           Uganda   52    86 0.86   exp</w:t>
      </w:r>
      <w:r>
        <w:br/>
      </w:r>
      <w:r>
        <w:rPr>
          <w:rStyle w:val="VerbatimChar"/>
        </w:rPr>
        <w:t xml:space="preserve">## 43      United_Republic_of_Tanzania   24    37 0.77   exp</w:t>
      </w:r>
      <w:r>
        <w:br/>
      </w:r>
      <w:r>
        <w:rPr>
          <w:rStyle w:val="VerbatimChar"/>
        </w:rPr>
        <w:t xml:space="preserve">## 44                           Zambia   39    54 0.74   exp</w:t>
      </w:r>
      <w:r>
        <w:br/>
      </w:r>
      <w:r>
        <w:rPr>
          <w:rStyle w:val="VerbatimChar"/>
        </w:rPr>
        <w:t xml:space="preserve">## 45                         Zimbabwe    9    12 0.87   exp</w:t>
      </w:r>
    </w:p>
    <w:p>
      <w:pPr>
        <w:pStyle w:val="FirstParagraph"/>
      </w:pPr>
      <w:r>
        <w:t xml:space="preserve">Les données sont disponibles dans le fichier</w:t>
      </w:r>
      <w:r>
        <w:t xml:space="preserve"> </w:t>
      </w:r>
      <w:r>
        <w:t xml:space="preserve">‘</w:t>
      </w:r>
      <w:r>
        <w:t xml:space="preserve">0resPred-2020-04-07.txt</w:t>
      </w:r>
      <w:r>
        <w:t xml:space="preserve">’</w:t>
      </w:r>
      <w:r>
        <w:t xml:space="preserve"> </w:t>
      </w:r>
      <w:r>
        <w:t xml:space="preserve">du zip</w:t>
      </w:r>
      <w:r>
        <w:t xml:space="preserve"> </w:t>
      </w:r>
      <w:r>
        <w:t xml:space="preserve">‘</w:t>
      </w:r>
      <w:r>
        <w:t xml:space="preserve">Previsions_2020-04-07.zip</w:t>
      </w:r>
      <w:r>
        <w:t xml:space="preserve">’</w:t>
      </w:r>
    </w:p>
    <w:p>
      <w:pPr>
        <w:pStyle w:val="Heading1"/>
      </w:pPr>
      <w:bookmarkStart w:id="26" w:name="graphes-des-dynamiques-par-pays"/>
      <w:r>
        <w:t xml:space="preserve">Graphes des dynamiques par pays</w:t>
      </w:r>
      <w:bookmarkEnd w:id="26"/>
    </w:p>
    <w:p>
      <w:pPr>
        <w:pStyle w:val="FirstParagraph"/>
      </w:pPr>
      <w:r>
        <w:t xml:space="preserve">Les graphes des dynamiques par pays sont stockées dans le fichier</w:t>
      </w:r>
      <w:r>
        <w:t xml:space="preserve"> </w:t>
      </w:r>
      <w:r>
        <w:t xml:space="preserve">‘</w:t>
      </w:r>
      <w:r>
        <w:t xml:space="preserve">Previsions_2020-04-07.zip</w:t>
      </w:r>
      <w:r>
        <w:t xml:space="preserve">’</w:t>
      </w:r>
    </w:p>
    <w:p>
      <w:pPr>
        <w:pStyle w:val="Heading1"/>
      </w:pPr>
      <w:bookmarkStart w:id="27" w:name="cartographie-des-prévisions"/>
      <w:r>
        <w:t xml:space="preserve">Cartographie des prévisions</w:t>
      </w:r>
      <w:bookmarkEnd w:id="27"/>
    </w:p>
    <w:p>
      <w:pPr>
        <w:pStyle w:val="FirstParagraph"/>
      </w:pPr>
      <w:r>
        <w:t xml:space="preserve">Les îles suivantes ne sont pas représentées sur la carte: Cape_Verde, Mauritius, Seychelles.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0407_prévis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carte est stockée dans le fichier</w:t>
      </w:r>
      <w:r>
        <w:t xml:space="preserve"> </w:t>
      </w:r>
      <w:r>
        <w:t xml:space="preserve">‘</w:t>
      </w:r>
      <w:r>
        <w:t xml:space="preserve">Previsions_2020-04-07.zip</w:t>
      </w:r>
      <w:r>
        <w:t xml:space="preserve">’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2" Target="https://opendata.ecdc.europa.eu/covid19/casedistribution/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opendata.ecdc.europa.eu/covid19/casedistribution/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Prévision statistique à 7 jours COVID-19 basée sur les 10 derniers jours d’observation</dc:title>
  <dc:creator>PG</dc:creator>
  <cp:keywords/>
  <dcterms:created xsi:type="dcterms:W3CDTF">2020-04-07T13:09:54Z</dcterms:created>
  <dcterms:modified xsi:type="dcterms:W3CDTF">2020-04-07T13:09:54Z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avril 2020 15:09</vt:lpwstr>
  </property>
  <property fmtid="{D5CDD505-2E9C-101B-9397-08002B2CF9AE}" pid="3" name="output">
    <vt:lpwstr>word_document</vt:lpwstr>
  </property>
</Properties>
</file>