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package/2006/relationships/metadata/core-properties" Target="docProps/core.xml"/>
  <Relationship Id="rId4" Type="http://schemas.openxmlformats.org/officeDocument/2006/relationships/extended-properties" Target="docProps/app.xml"/>
  <Relationship Id="rId1" Type="http://schemas.openxmlformats.org/officeDocument/2006/relationships/officeDocument" Target="word/document.xml"/>
</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rPr/>
        <w:t xml:space="preserve">Step-by-step guide to install VOD ingest solution</w:t>
      </w:r>
    </w:p>
    <w:p>
      <w:br/>
    </w:p>
    <w:p>
      <w:pPr>
        <w:pStyle w:val="Heading1"/>
      </w:pPr>
      <w:r>
        <w:rPr/>
        <w:t xml:space="preserve">Revision History</w:t>
      </w:r>
    </w:p>
    <w:p/>
    <w:tbl>
      <w:tblPr>
        <w:tblStyle w:val="TableGrid"/>
        <w:tblW w:type="auto" w:w="0"/>
        <w:tblLook/>
      </w:tblPr>
      <w:tblGrid>
        <w:gridCol w:w="1320"/>
        <w:gridCol w:w="1320"/>
        <w:gridCol w:w="1320"/>
        <w:gridCol w:w="1320"/>
        <w:gridCol w:w="1320"/>
      </w:tblGrid>
      <w:tr>
        <w:trPr>
          <w:cnfStyle/>
        </w:trPr>
        <w:tc>
          <w:tcPr>
            <w:cnfStyle/>
            <w:tcW w:type="dxa" w:w="1320"/>
            <w:shd w:color="auto" w:fill="f0f0f0" w:val="clear"/>
          </w:tcPr>
          <w:p>
            <w:r>
              <w:rPr/>
              <w:t xml:space="preserve">Column 1</w:t>
            </w:r>
          </w:p>
        </w:tc>
        <w:tc>
          <w:tcPr>
            <w:cnfStyle/>
            <w:tcW w:type="dxa" w:w="1320"/>
            <w:shd w:color="auto" w:fill="f0f0f0" w:val="clear"/>
          </w:tcPr>
          <w:p>
            <w:r>
              <w:rPr/>
              <w:t xml:space="preserve">Column 2</w:t>
            </w:r>
          </w:p>
        </w:tc>
        <w:tc>
          <w:tcPr>
            <w:cnfStyle/>
            <w:tcW w:type="dxa" w:w="1320"/>
            <w:shd w:color="auto" w:fill="f0f0f0" w:val="clear"/>
          </w:tcPr>
          <w:p>
            <w:r>
              <w:rPr/>
              <w:t xml:space="preserve">Column 3</w:t>
            </w:r>
          </w:p>
        </w:tc>
        <w:tc>
          <w:tcPr>
            <w:cnfStyle/>
            <w:tcW w:type="dxa" w:w="1320"/>
            <w:shd w:color="auto" w:fill="f0f0f0" w:val="clear"/>
          </w:tcPr>
          <w:p>
            <w:r>
              <w:rPr/>
              <w:t xml:space="preserve">Column 4</w:t>
            </w:r>
          </w:p>
        </w:tc>
        <w:tc>
          <w:tcPr>
            <w:cnfStyle/>
            <w:tcW w:type="dxa" w:w="1320"/>
            <w:shd w:color="auto" w:fill="f0f0f0" w:val="clear"/>
          </w:tcPr>
          <w:p>
            <w:r>
              <w:rPr/>
              <w:t xml:space="preserve">Column 5</w:t>
            </w:r>
          </w:p>
        </w:tc>
      </w:tr>
      <w:tr>
        <w:trPr>
          <w:cnfStyle/>
        </w:trPr>
        <w:tc>
          <w:tcPr>
            <w:cnfStyle/>
            <w:tcW w:type="dxa" w:w="1320"/>
            <w:shd w:color="auto" w:fill="E1E1E1" w:val="clear"/>
          </w:tcPr>
          <w:p>
            <w:r>
              <w:rPr>
                <w:b/>
              </w:rPr>
              <w:t xml:space="preserve">Version</w:t>
            </w:r>
          </w:p>
        </w:tc>
        <w:tc>
          <w:tcPr>
            <w:cnfStyle/>
            <w:tcW w:type="dxa" w:w="1320"/>
            <w:shd w:color="auto" w:fill="E1E1E1" w:val="clear"/>
          </w:tcPr>
          <w:p>
            <w:r>
              <w:rPr>
                <w:b/>
              </w:rPr>
              <w:t xml:space="preserve">Description</w:t>
            </w:r>
          </w:p>
        </w:tc>
        <w:tc>
          <w:tcPr>
            <w:cnfStyle/>
            <w:tcW w:type="dxa" w:w="1320"/>
          </w:tcPr>
          <w:p/>
        </w:tc>
        <w:tc>
          <w:tcPr>
            <w:cnfStyle/>
            <w:tcW w:type="dxa" w:w="1320"/>
          </w:tcPr>
          <w:p/>
        </w:tc>
        <w:tc>
          <w:tcPr>
            <w:cnfStyle/>
            <w:tcW w:type="dxa" w:w="1320"/>
            <w:shd w:color="auto" w:fill="E1E1E1" w:val="clear"/>
          </w:tcPr>
          <w:p>
            <w:r>
              <w:rPr>
                <w:b/>
              </w:rPr>
              <w:t xml:space="preserve">Release date</w:t>
            </w:r>
          </w:p>
        </w:tc>
      </w:tr>
      <w:tr>
        <w:trPr>
          <w:cnfStyle/>
        </w:trPr>
        <w:tc>
          <w:tcPr>
            <w:cnfStyle/>
            <w:tcW w:type="dxa" w:w="1320"/>
          </w:tcPr>
          <w:p>
            <w:r>
              <w:rPr/>
              <w:t xml:space="preserve">v0.0.1</w:t>
            </w:r>
          </w:p>
        </w:tc>
        <w:tc>
          <w:tcPr>
            <w:cnfStyle/>
            <w:tcW w:type="dxa" w:w="1320"/>
          </w:tcPr>
          <w:p>
            <w:r>
              <w:rPr/>
              <w:t xml:space="preserve">Initial version</w:t>
            </w:r>
          </w:p>
        </w:tc>
        <w:tc>
          <w:tcPr>
            <w:cnfStyle/>
            <w:tcW w:type="dxa" w:w="1320"/>
          </w:tcPr>
          <w:p/>
        </w:tc>
        <w:tc>
          <w:tcPr>
            <w:cnfStyle/>
            <w:tcW w:type="dxa" w:w="1320"/>
          </w:tcPr>
          <w:p/>
        </w:tc>
        <w:tc>
          <w:tcPr>
            <w:cnfStyle/>
            <w:tcW w:type="dxa" w:w="1320"/>
          </w:tcPr>
          <w:p>
            <w:r>
              <w:rPr/>
              <w:t xml:space="preserve">07/19</w:t>
            </w:r>
          </w:p>
        </w:tc>
      </w:tr>
      <w:tr>
        <w:trPr>
          <w:cnfStyle/>
        </w:trPr>
        <w:tc>
          <w:tcPr>
            <w:cnfStyle/>
            <w:tcW w:type="dxa" w:w="1320"/>
          </w:tcPr>
          <w:p/>
        </w:tc>
        <w:tc>
          <w:tcPr>
            <w:cnfStyle/>
            <w:tcW w:type="dxa" w:w="1320"/>
          </w:tcPr>
          <w:p/>
        </w:tc>
        <w:tc>
          <w:tcPr>
            <w:cnfStyle/>
            <w:tcW w:type="dxa" w:w="1320"/>
          </w:tcPr>
          <w:p/>
        </w:tc>
        <w:tc>
          <w:tcPr>
            <w:cnfStyle/>
            <w:tcW w:type="dxa" w:w="1320"/>
          </w:tcPr>
          <w:p/>
        </w:tc>
        <w:tc>
          <w:tcPr>
            <w:cnfStyle/>
            <w:tcW w:type="dxa" w:w="1320"/>
          </w:tcPr>
          <w:p/>
        </w:tc>
      </w:tr>
      <w:tr>
        <w:trPr>
          <w:cnfStyle/>
        </w:trPr>
        <w:tc>
          <w:tcPr>
            <w:cnfStyle/>
            <w:tcW w:type="dxa" w:w="1320"/>
          </w:tcPr>
          <w:p/>
        </w:tc>
        <w:tc>
          <w:tcPr>
            <w:cnfStyle/>
            <w:tcW w:type="dxa" w:w="1320"/>
          </w:tcPr>
          <w:p/>
        </w:tc>
        <w:tc>
          <w:tcPr>
            <w:cnfStyle/>
            <w:tcW w:type="dxa" w:w="1320"/>
          </w:tcPr>
          <w:p/>
        </w:tc>
        <w:tc>
          <w:tcPr>
            <w:cnfStyle/>
            <w:tcW w:type="dxa" w:w="1320"/>
          </w:tcPr>
          <w:p/>
        </w:tc>
        <w:tc>
          <w:tcPr>
            <w:cnfStyle/>
            <w:tcW w:type="dxa" w:w="1320"/>
          </w:tcPr>
          <w:p/>
        </w:tc>
      </w:tr>
      <w:tr>
        <w:trPr>
          <w:cnfStyle/>
        </w:trPr>
        <w:tc>
          <w:tcPr>
            <w:cnfStyle/>
            <w:tcW w:type="dxa" w:w="1320"/>
          </w:tcPr>
          <w:p/>
        </w:tc>
        <w:tc>
          <w:tcPr>
            <w:cnfStyle/>
            <w:tcW w:type="dxa" w:w="1320"/>
          </w:tcPr>
          <w:p/>
        </w:tc>
        <w:tc>
          <w:tcPr>
            <w:cnfStyle/>
            <w:tcW w:type="dxa" w:w="1320"/>
          </w:tcPr>
          <w:p/>
        </w:tc>
        <w:tc>
          <w:tcPr>
            <w:cnfStyle/>
            <w:tcW w:type="dxa" w:w="1320"/>
          </w:tcPr>
          <w:p/>
        </w:tc>
        <w:tc>
          <w:tcPr>
            <w:cnfStyle/>
            <w:tcW w:type="dxa" w:w="1320"/>
          </w:tcPr>
          <w:p/>
        </w:tc>
      </w:tr>
      <w:tr>
        <w:trPr>
          <w:cnfStyle/>
        </w:trPr>
        <w:tc>
          <w:tcPr>
            <w:cnfStyle/>
            <w:tcW w:type="dxa" w:w="1320"/>
          </w:tcPr>
          <w:p/>
        </w:tc>
        <w:tc>
          <w:tcPr>
            <w:cnfStyle/>
            <w:tcW w:type="dxa" w:w="1320"/>
          </w:tcPr>
          <w:p/>
        </w:tc>
        <w:tc>
          <w:tcPr>
            <w:cnfStyle/>
            <w:tcW w:type="dxa" w:w="1320"/>
          </w:tcPr>
          <w:p/>
        </w:tc>
        <w:tc>
          <w:tcPr>
            <w:cnfStyle/>
            <w:tcW w:type="dxa" w:w="1320"/>
          </w:tcPr>
          <w:p/>
        </w:tc>
        <w:tc>
          <w:tcPr>
            <w:cnfStyle/>
            <w:tcW w:type="dxa" w:w="1320"/>
          </w:tcPr>
          <w:p/>
        </w:tc>
      </w:tr>
    </w:tbl>
    <w:p/>
    <w:p>
      <w:pPr>
        <w:pStyle w:val="Heading1"/>
      </w:pPr>
      <w:r>
        <w:rPr/>
        <w:t xml:space="preserve">Description</w:t>
      </w:r>
    </w:p>
    <w:p>
      <w:br/>
      <w:r>
        <w:rPr/>
        <w:t xml:space="preserve">VOD Ingest solution demonstrates how easily you can convert your source mezzanine video library into ABR, streamable contents. As easy as uploading your source video onto Amazon S3 bucket, the S3 event automatically triggers the ingest process, a state machine where:</w:t>
      </w:r>
    </w:p>
    <w:p>
      <w:pPr>
        <w:pStyle w:val="ListParagraph"/>
        <w:numPr>
          <w:ilvl w:val="0"/>
          <w:numId w:val="1"/>
        </w:numPr>
      </w:pPr>
      <w:r>
        <w:rPr/>
        <w:t xml:space="preserve">AWS Elemental MediaConvert is used to transcode the source file into MP4 formats with 6 different renditions (bitrates and resolutions) and stores the renditions in Amazon S3 bucket</w:t>
      </w:r>
    </w:p>
    <w:p>
      <w:pPr>
        <w:pStyle w:val="ListParagraph"/>
        <w:numPr>
          <w:ilvl w:val="0"/>
          <w:numId w:val="1"/>
        </w:numPr>
      </w:pPr>
      <w:r>
        <w:rPr/>
        <w:t xml:space="preserve">Amazon Lambda function then automatically creates a SMIL file to enumerate the rendition and ingest the MP4 renditions onto AWS Elemental MediaPackage VOD Package</w:t>
      </w:r>
    </w:p>
    <w:p>
      <w:pPr>
        <w:pStyle w:val="ListParagraph"/>
        <w:numPr>
          <w:ilvl w:val="0"/>
          <w:numId w:val="1"/>
        </w:numPr>
      </w:pPr>
      <w:r>
        <w:rPr/>
        <w:t xml:space="preserve">The new feature of AWS Elemental MediaPackage VOD Packaging reads the renditions from Amazon S3 and creates various streaming formats such as HLS, DASH, MSS, CMAF</w:t>
      </w:r>
    </w:p>
    <w:p>
      <w:pPr>
        <w:pStyle w:val="ListParagraph"/>
        <w:numPr>
          <w:ilvl w:val="0"/>
          <w:numId w:val="1"/>
        </w:numPr>
      </w:pPr>
      <w:r>
        <w:rPr/>
        <w:t xml:space="preserve">When the ingest is completed, Amazon SNS would then send a notification to the subscribed user and notifies the ingest status</w:t>
      </w:r>
    </w:p>
    <w:p>
      <w:r>
        <w:rPr/>
        <w:t xml:space="preserve">The diagram below illustrates a high level ingest workflow.</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130803"/>
                <wp:wrapTopAndBottom/>
                <wp:docPr id="9" name="media/ZLC9CAJ54GY.png"/>
                <a:graphic xmlns:a="http://schemas.openxmlformats.org/drawingml/2006/main">
                  <a:graphicData uri="http://schemas.openxmlformats.org/drawingml/2006/picture">
                    <pic:pic xmlns:pic="http://schemas.openxmlformats.org/drawingml/2006/picture">
                      <pic:nvPicPr>
                        <pic:cNvPr id="0" name="media/ZLC9CAJ54GY.png"/>
                        <pic:cNvPicPr/>
                      </pic:nvPicPr>
                      <pic:blipFill>
                        <a:blip r:embed="rId9"/>
                        <a:stretch>
                          <a:fillRect/>
                        </a:stretch>
                      </pic:blipFill>
                      <pic:spPr>
                        <a:xfrm>
                          <a:off x="0" y="0"/>
                          <a:ext cx="5352176" cy="2130803"/>
                        </a:xfrm>
                        <a:prstGeom prst="rect"/>
                      </pic:spPr>
                    </pic:pic>
                  </a:graphicData>
                </a:graphic>
              </wp:anchor>
            </w:drawing>
          </w:r>
        </w:p>
      </w:r>
    </w:p>
    <w:p/>
    <w:p>
      <w:r>
        <w:rPr/>
        <w:t xml:space="preserve"> The solution uses serverless architecture that means if you pay by the usage. It uses the following services:</w:t>
      </w:r>
    </w:p>
    <w:p>
      <w:pPr>
        <w:pStyle w:val="ListParagraph"/>
        <w:numPr>
          <w:ilvl w:val="0"/>
          <w:numId w:val="1"/>
        </w:numPr>
      </w:pPr>
      <w:r>
        <w:rPr/>
        <w:t xml:space="preserve">AWS Step Functions</w:t>
      </w:r>
    </w:p>
    <w:p>
      <w:pPr>
        <w:pStyle w:val="ListParagraph"/>
        <w:numPr>
          <w:ilvl w:val="0"/>
          <w:numId w:val="1"/>
        </w:numPr>
      </w:pPr>
      <w:r>
        <w:rPr/>
        <w:t xml:space="preserve">AWS Lambda</w:t>
      </w:r>
    </w:p>
    <w:p>
      <w:pPr>
        <w:pStyle w:val="ListParagraph"/>
        <w:numPr>
          <w:ilvl w:val="0"/>
          <w:numId w:val="1"/>
        </w:numPr>
      </w:pPr>
      <w:r>
        <w:rPr/>
        <w:t xml:space="preserve">Amazon SNS</w:t>
      </w:r>
    </w:p>
    <w:p>
      <w:pPr>
        <w:pStyle w:val="ListParagraph"/>
        <w:numPr>
          <w:ilvl w:val="0"/>
          <w:numId w:val="1"/>
        </w:numPr>
      </w:pPr>
      <w:r>
        <w:rPr/>
        <w:t xml:space="preserve">AWS Elemental MediaConvert</w:t>
      </w:r>
    </w:p>
    <w:p>
      <w:pPr>
        <w:pStyle w:val="ListParagraph"/>
        <w:numPr>
          <w:ilvl w:val="0"/>
          <w:numId w:val="1"/>
        </w:numPr>
      </w:pPr>
      <w:r>
        <w:rPr/>
        <w:t xml:space="preserve">AWS Elemental MediaPackage</w:t>
      </w:r>
    </w:p>
    <w:p>
      <w:pPr>
        <w:pStyle w:val="ListParagraph"/>
        <w:numPr>
          <w:ilvl w:val="0"/>
          <w:numId w:val="1"/>
        </w:numPr>
      </w:pPr>
      <w:r>
        <w:rPr/>
        <w:t xml:space="preserve">Amazon CloudFront</w:t>
      </w:r>
    </w:p>
    <w:p>
      <w:pPr>
        <w:pStyle w:val="ListParagraph"/>
        <w:numPr>
          <w:ilvl w:val="0"/>
          <w:numId w:val="1"/>
        </w:numPr>
      </w:pPr>
      <w:r>
        <w:rPr/>
        <w:t xml:space="preserve">Amazon CloudFormation</w:t>
      </w:r>
    </w:p>
    <w:p/>
    <w:p>
      <w:pPr>
        <w:pStyle w:val="Heading2"/>
      </w:pPr>
      <w:r>
        <w:rPr/>
        <w:t xml:space="preserve">Supported regions</w:t>
      </w:r>
    </w:p>
    <w:p>
      <w:pPr>
        <w:pStyle w:val="ListParagraph"/>
        <w:numPr>
          <w:ilvl w:val="0"/>
          <w:numId w:val="1"/>
        </w:numPr>
      </w:pPr>
      <w:r>
        <w:rPr/>
        <w:t xml:space="preserve">us-east-1</w:t>
      </w:r>
    </w:p>
    <w:p>
      <w:pPr>
        <w:pStyle w:val="ListParagraph"/>
        <w:numPr>
          <w:ilvl w:val="0"/>
          <w:numId w:val="1"/>
        </w:numPr>
      </w:pPr>
      <w:r>
        <w:rPr/>
        <w:t xml:space="preserve">us-west-1</w:t>
      </w:r>
    </w:p>
    <w:p>
      <w:pPr>
        <w:pStyle w:val="ListParagraph"/>
        <w:numPr>
          <w:ilvl w:val="0"/>
          <w:numId w:val="1"/>
        </w:numPr>
      </w:pPr>
      <w:r>
        <w:rPr/>
        <w:t xml:space="preserve">us-west-2</w:t>
      </w:r>
    </w:p>
    <w:p>
      <w:pPr>
        <w:pStyle w:val="ListParagraph"/>
        <w:numPr>
          <w:ilvl w:val="0"/>
          <w:numId w:val="1"/>
        </w:numPr>
      </w:pPr>
      <w:r>
        <w:rPr/>
        <w:t xml:space="preserve">sa-east-1</w:t>
      </w:r>
    </w:p>
    <w:p>
      <w:pPr>
        <w:pStyle w:val="ListParagraph"/>
        <w:numPr>
          <w:ilvl w:val="0"/>
          <w:numId w:val="1"/>
        </w:numPr>
      </w:pPr>
      <w:r>
        <w:rPr/>
        <w:t xml:space="preserve">eu-west-1</w:t>
      </w:r>
    </w:p>
    <w:p>
      <w:pPr>
        <w:pStyle w:val="ListParagraph"/>
        <w:numPr>
          <w:ilvl w:val="0"/>
          <w:numId w:val="1"/>
        </w:numPr>
      </w:pPr>
      <w:r>
        <w:rPr/>
        <w:t xml:space="preserve">eu-west-3</w:t>
      </w:r>
    </w:p>
    <w:p>
      <w:pPr>
        <w:pStyle w:val="ListParagraph"/>
        <w:numPr>
          <w:ilvl w:val="0"/>
          <w:numId w:val="1"/>
        </w:numPr>
      </w:pPr>
      <w:r>
        <w:rPr/>
        <w:t xml:space="preserve">eu-central-1</w:t>
      </w:r>
    </w:p>
    <w:p>
      <w:pPr>
        <w:pStyle w:val="ListParagraph"/>
        <w:numPr>
          <w:ilvl w:val="0"/>
          <w:numId w:val="1"/>
        </w:numPr>
      </w:pPr>
      <w:r>
        <w:rPr/>
        <w:t xml:space="preserve">ap-southeast-1</w:t>
      </w:r>
    </w:p>
    <w:p>
      <w:pPr>
        <w:pStyle w:val="ListParagraph"/>
        <w:numPr>
          <w:ilvl w:val="0"/>
          <w:numId w:val="1"/>
        </w:numPr>
      </w:pPr>
      <w:r>
        <w:rPr/>
        <w:t xml:space="preserve">ap-southeast-2</w:t>
      </w:r>
    </w:p>
    <w:p>
      <w:pPr>
        <w:pStyle w:val="ListParagraph"/>
        <w:numPr>
          <w:ilvl w:val="0"/>
          <w:numId w:val="1"/>
        </w:numPr>
      </w:pPr>
      <w:r>
        <w:rPr/>
        <w:t xml:space="preserve">ap-northeast-1</w:t>
      </w:r>
    </w:p>
    <w:p>
      <w:pPr>
        <w:pStyle w:val="ListParagraph"/>
        <w:numPr>
          <w:ilvl w:val="0"/>
          <w:numId w:val="1"/>
        </w:numPr>
      </w:pPr>
      <w:r>
        <w:rPr/>
        <w:t xml:space="preserve">ap-northeast-2</w:t>
      </w:r>
    </w:p>
    <w:p>
      <w:pPr>
        <w:pStyle w:val="ListParagraph"/>
        <w:numPr>
          <w:ilvl w:val="0"/>
          <w:numId w:val="1"/>
        </w:numPr>
      </w:pPr>
      <w:r>
        <w:rPr/>
        <w:t xml:space="preserve">ap-southeast-2</w:t>
      </w:r>
    </w:p>
    <w:p>
      <w:pPr>
        <w:pStyle w:val="ListParagraph"/>
        <w:numPr>
          <w:ilvl w:val="0"/>
          <w:numId w:val="1"/>
        </w:numPr>
      </w:pPr>
      <w:r>
        <w:rPr/>
        <w:t xml:space="preserve">ap-south-1</w:t>
      </w:r>
    </w:p>
    <w:p/>
    <w:p/>
    <w:p>
      <w:pPr>
        <w:pStyle w:val="Heading1"/>
      </w:pPr>
      <w:r>
        <w:rPr/>
        <w:t xml:space="preserve">Launching AWS CloudFormation stack</w:t>
      </w:r>
    </w:p>
    <w:p>
      <w:pPr>
        <w:pStyle w:val="Heading2"/>
      </w:pPr>
      <w:r>
        <w:rPr/>
        <w:t xml:space="preserve">Step 0: Log in to AWS Account</w:t>
      </w:r>
    </w:p>
    <w:p>
      <w:br/>
      <w:r>
        <w:rPr/>
        <w:t xml:space="preserve">Go to AWS CloudFormation, select the intended region you would like to launch the solution</w:t>
      </w:r>
    </w:p>
    <w:p/>
    <w:p>
      <w:pPr>
        <w:pStyle w:val="Heading2"/>
      </w:pPr>
      <w:r>
        <w:rPr/>
        <w:t xml:space="preserve">Step 1: Specify template</w:t>
      </w:r>
    </w:p>
    <w:p>
      <w:br/>
      <w:r>
        <w:rPr/>
        <w:t xml:space="preserve">Click on 'Create stack'. Under the Amazon S3 URL field, copy and paste the following url,</w:t>
      </w:r>
    </w:p>
    <w:p>
      <w:hyperlink r:id="rId10">
        <w:r>
          <w:rPr>
            <w:rStyle w:val="Hyperlink"/>
          </w:rPr>
          <w:t xml:space="preserve">https://mediaent-solution-eu-west-1.s3-eu-west-1.amazonaws.com/vod-ingest/v0.0.1/vod-ingest-deploy.template</w:t>
        </w:r>
      </w:hyperlink>
    </w:p>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431097"/>
                <wp:wrapTopAndBottom/>
                <wp:docPr id="11" name="media/ZLC9CApDCW9.png"/>
                <a:graphic xmlns:a="http://schemas.openxmlformats.org/drawingml/2006/main">
                  <a:graphicData uri="http://schemas.openxmlformats.org/drawingml/2006/picture">
                    <pic:pic xmlns:pic="http://schemas.openxmlformats.org/drawingml/2006/picture">
                      <pic:nvPicPr>
                        <pic:cNvPr id="0" name="media/ZLC9CApDCW9.png"/>
                        <pic:cNvPicPr/>
                      </pic:nvPicPr>
                      <pic:blipFill>
                        <a:blip r:embed="rId11"/>
                        <a:stretch>
                          <a:fillRect/>
                        </a:stretch>
                      </pic:blipFill>
                      <pic:spPr>
                        <a:xfrm>
                          <a:off x="0" y="0"/>
                          <a:ext cx="5352176" cy="3431097"/>
                        </a:xfrm>
                        <a:prstGeom prst="rect"/>
                      </pic:spPr>
                    </pic:pic>
                  </a:graphicData>
                </a:graphic>
              </wp:anchor>
            </w:drawing>
          </w:r>
        </w:p>
      </w:r>
    </w:p>
    <w:p/>
    <w:p>
      <w:pPr>
        <w:pStyle w:val="Heading2"/>
      </w:pPr>
      <w:r>
        <w:rPr/>
        <w:t xml:space="preserve">Step 2: Specify stack details</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733100"/>
                <wp:wrapTopAndBottom/>
                <wp:docPr id="12" name="media/ZLC9CABJjPn.png"/>
                <a:graphic xmlns:a="http://schemas.openxmlformats.org/drawingml/2006/main">
                  <a:graphicData uri="http://schemas.openxmlformats.org/drawingml/2006/picture">
                    <pic:pic xmlns:pic="http://schemas.openxmlformats.org/drawingml/2006/picture">
                      <pic:nvPicPr>
                        <pic:cNvPr id="0" name="media/ZLC9CABJjPn.png"/>
                        <pic:cNvPicPr/>
                      </pic:nvPicPr>
                      <pic:blipFill>
                        <a:blip r:embed="rId12"/>
                        <a:stretch>
                          <a:fillRect/>
                        </a:stretch>
                      </pic:blipFill>
                      <pic:spPr>
                        <a:xfrm>
                          <a:off x="0" y="0"/>
                          <a:ext cx="5352176" cy="3733100"/>
                        </a:xfrm>
                        <a:prstGeom prst="rect"/>
                      </pic:spPr>
                    </pic:pic>
                  </a:graphicData>
                </a:graphic>
              </wp:anchor>
            </w:drawing>
          </w:r>
        </w:p>
      </w:r>
    </w:p>
    <w:p>
      <w:r>
        <w:rPr/>
        <w:t xml:space="preserve">where</w:t>
      </w:r>
    </w:p>
    <w:p>
      <w:pPr>
        <w:pStyle w:val="ListParagraph"/>
        <w:numPr>
          <w:ilvl w:val="0"/>
          <w:numId w:val="1"/>
        </w:numPr>
      </w:pPr>
      <w:r>
        <w:rPr>
          <w:b/>
        </w:rPr>
        <w:t xml:space="preserve">Stack name, </w:t>
      </w:r>
      <w:r>
        <w:rPr/>
        <w:t xml:space="preserve">any valid string. It will be used to prefix the resources being created</w:t>
      </w:r>
    </w:p>
    <w:p>
      <w:pPr>
        <w:pStyle w:val="ListParagraph"/>
        <w:numPr>
          <w:ilvl w:val="0"/>
          <w:numId w:val="1"/>
        </w:numPr>
      </w:pPr>
      <w:r>
        <w:rPr>
          <w:b/>
        </w:rPr>
        <w:t xml:space="preserve">Packaging Types,</w:t>
      </w:r>
      <w:r>
        <w:rPr/>
        <w:t xml:space="preserve"> can be HLS, DASH, MSS, and/or CMAF</w:t>
      </w:r>
    </w:p>
    <w:p>
      <w:pPr>
        <w:pStyle w:val="ListParagraph"/>
        <w:numPr>
          <w:ilvl w:val="0"/>
          <w:numId w:val="1"/>
        </w:numPr>
      </w:pPr>
      <w:r>
        <w:rPr>
          <w:b/>
        </w:rPr>
        <w:t xml:space="preserve">Segment Length, </w:t>
      </w:r>
      <w:r>
        <w:rPr/>
        <w:t xml:space="preserve">default to 10 seconds. You can specify between 2 to 600 seconds</w:t>
      </w:r>
    </w:p>
    <w:p>
      <w:pPr>
        <w:pStyle w:val="ListParagraph"/>
        <w:numPr>
          <w:ilvl w:val="0"/>
          <w:numId w:val="1"/>
        </w:numPr>
      </w:pPr>
      <w:r>
        <w:rPr>
          <w:b/>
        </w:rPr>
        <w:t xml:space="preserve">Email</w:t>
      </w:r>
      <w:r>
        <w:rPr/>
        <w:t xml:space="preserve">, to receive notification when the ingest is completed.</w:t>
      </w:r>
    </w:p>
    <w:p/>
    <w:p>
      <w:pPr>
        <w:pStyle w:val="Heading2"/>
      </w:pPr>
      <w:r>
        <w:rPr/>
        <w:t xml:space="preserve">Step 3: Configure stack options</w:t>
      </w:r>
    </w:p>
    <w:p>
      <w:br/>
      <w:r>
        <w:rPr/>
        <w:t xml:space="preserve">Leave it as is and click on Next</w:t>
      </w:r>
    </w:p>
    <w:p/>
    <w:p>
      <w:pPr>
        <w:pStyle w:val="Heading2"/>
      </w:pPr>
      <w:r>
        <w:rPr/>
        <w:t xml:space="preserve">Step 4: Review</w:t>
      </w:r>
    </w:p>
    <w:p>
      <w:br/>
      <w:r>
        <w:rPr/>
        <w:t xml:space="preserve">Before click on</w:t>
      </w:r>
      <w:r>
        <w:rPr>
          <w:b/>
        </w:rPr>
        <w:t xml:space="preserve"> Create stack</w:t>
      </w:r>
      <w:r>
        <w:rPr/>
        <w:t xml:space="preserve">, make sure checkboxes under Capabilities section are CHECKED!</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954634"/>
                <wp:wrapTopAndBottom/>
                <wp:docPr id="13" name="media/ZLC9CABoBSm.png"/>
                <a:graphic xmlns:a="http://schemas.openxmlformats.org/drawingml/2006/main">
                  <a:graphicData uri="http://schemas.openxmlformats.org/drawingml/2006/picture">
                    <pic:pic xmlns:pic="http://schemas.openxmlformats.org/drawingml/2006/picture">
                      <pic:nvPicPr>
                        <pic:cNvPr id="0" name="media/ZLC9CABoBSm.png"/>
                        <pic:cNvPicPr/>
                      </pic:nvPicPr>
                      <pic:blipFill>
                        <a:blip r:embed="rId13"/>
                        <a:stretch>
                          <a:fillRect/>
                        </a:stretch>
                      </pic:blipFill>
                      <pic:spPr>
                        <a:xfrm>
                          <a:off x="0" y="0"/>
                          <a:ext cx="5352176" cy="1954634"/>
                        </a:xfrm>
                        <a:prstGeom prst="rect"/>
                      </pic:spPr>
                    </pic:pic>
                  </a:graphicData>
                </a:graphic>
              </wp:anchor>
            </w:drawing>
          </w:r>
        </w:p>
      </w:r>
    </w:p>
    <w:p/>
    <w:p>
      <w:pPr>
        <w:pStyle w:val="Heading2"/>
      </w:pPr>
      <w:r>
        <w:rPr/>
        <w:t xml:space="preserve">Step 5: Gathering stack’s output information</w:t>
      </w:r>
    </w:p>
    <w:p>
      <w:br/>
      <w:r>
        <w:rPr/>
        <w:t xml:space="preserve">Once the CloudFormat stack is completed, click on the </w:t>
      </w:r>
      <w:r>
        <w:rPr>
          <w:b/>
        </w:rPr>
        <w:t xml:space="preserve">Outputs</w:t>
      </w:r>
      <w:r>
        <w:rPr/>
        <w:t xml:space="preserve"> tab, you should find many information.</w:t>
      </w:r>
    </w:p>
    <w:p>
      <w:r>
        <w:rPr/>
        <w:t xml:space="preserve">The two parameters you would need to know are:</w:t>
      </w:r>
    </w:p>
    <w:p>
      <w:pPr>
        <w:pStyle w:val="ListParagraph"/>
        <w:numPr>
          <w:ilvl w:val="0"/>
          <w:numId w:val="1"/>
        </w:numPr>
      </w:pPr>
      <w:r>
        <w:rPr>
          <w:b/>
        </w:rPr>
        <w:t xml:space="preserve">IngestBucket</w:t>
      </w:r>
      <w:r>
        <w:rPr/>
        <w:t xml:space="preserve"> is the bucket that you upload the original source files to.</w:t>
      </w:r>
    </w:p>
    <w:p>
      <w:pPr>
        <w:pStyle w:val="ListParagraph"/>
        <w:numPr>
          <w:ilvl w:val="0"/>
          <w:numId w:val="1"/>
        </w:numPr>
      </w:pPr>
      <w:r>
        <w:rPr>
          <w:b/>
        </w:rPr>
        <w:t xml:space="preserve">ProxyBucket</w:t>
      </w:r>
      <w:r>
        <w:rPr/>
        <w:t xml:space="preserve"> is the bucket that stores the transcoded MP4 renditions.</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665988"/>
                <wp:wrapTopAndBottom/>
                <wp:docPr id="14" name="media/ZLC9CAtxvfP.png"/>
                <a:graphic xmlns:a="http://schemas.openxmlformats.org/drawingml/2006/main">
                  <a:graphicData uri="http://schemas.openxmlformats.org/drawingml/2006/picture">
                    <pic:pic xmlns:pic="http://schemas.openxmlformats.org/drawingml/2006/picture">
                      <pic:nvPicPr>
                        <pic:cNvPr id="0" name="media/ZLC9CAtxvfP.png"/>
                        <pic:cNvPicPr/>
                      </pic:nvPicPr>
                      <pic:blipFill>
                        <a:blip r:embed="rId14"/>
                        <a:stretch>
                          <a:fillRect/>
                        </a:stretch>
                      </pic:blipFill>
                      <pic:spPr>
                        <a:xfrm>
                          <a:off x="0" y="0"/>
                          <a:ext cx="5352176" cy="3665988"/>
                        </a:xfrm>
                        <a:prstGeom prst="rect"/>
                      </pic:spPr>
                    </pic:pic>
                  </a:graphicData>
                </a:graphic>
              </wp:anchor>
            </w:drawing>
          </w:r>
        </w:p>
      </w:r>
    </w:p>
    <w:p/>
    <w:p>
      <w:pPr>
        <w:pStyle w:val="Heading1"/>
      </w:pPr>
      <w:r>
        <w:rPr/>
        <w:t xml:space="preserve">Ingest content and get playback endpoints</w:t>
      </w:r>
    </w:p>
    <w:p>
      <w:br/>
      <w:r>
        <w:rPr/>
        <w:t xml:space="preserve">To ingest content, simply upload a file to the </w:t>
      </w:r>
      <w:r>
        <w:rPr>
          <w:b/>
        </w:rPr>
        <w:t xml:space="preserve">IngestBucket</w:t>
      </w:r>
      <w:r>
        <w:rPr/>
        <w:t xml:space="preserve"> either using AWS Console, AWS CLI, or AWS SDK. When the ingest process is completed, you will receive an email from our Amazon Simple Notification Service (SNS). The email contains the endpoint URLs as follows.</w:t>
      </w:r>
    </w:p>
    <w:p>
      <w:pPr>
        <w:pStyle w:val="Code"/>
      </w:pPr>
      <w:r>
        <w:rPr/>
        <w:t xml:space="preserve">{</w:t>
      </w:r>
      <w:br/>
      <w:r>
        <w:rPr/>
        <w:t xml:space="preserve">  "operation": "job-completed",</w:t>
      </w:r>
      <w:br/>
      <w:r>
        <w:rPr/>
        <w:t xml:space="preserve">  "input": {</w:t>
      </w:r>
      <w:br/>
      <w:r>
        <w:rPr/>
        <w:t xml:space="preserve">    "src": {</w:t>
      </w:r>
      <w:br/>
      <w:r>
        <w:rPr/>
        <w:t xml:space="preserve">      "bucket": "me0010-vodingest-fc23b812b30d-ingest",</w:t>
      </w:r>
      <w:br/>
      <w:r>
        <w:rPr/>
        <w:t xml:space="preserve">      "key": "13309760.mp4"</w:t>
      </w:r>
      <w:br/>
      <w:r>
        <w:rPr/>
        <w:t xml:space="preserve">    },</w:t>
      </w:r>
      <w:br/>
      <w:r>
        <w:rPr/>
        <w:t xml:space="preserve">    "transcode": {</w:t>
      </w:r>
      <w:br/>
      <w:r>
        <w:rPr/>
        <w:t xml:space="preserve">      "jobId": "1563620145479-0cngol",</w:t>
      </w:r>
      <w:br/>
      <w:r>
        <w:rPr/>
        <w:t xml:space="preserve">      "destination": "vod/84e6299c01684780166b212c67e85b9c/13309760",</w:t>
      </w:r>
      <w:br/>
      <w:r>
        <w:rPr/>
        <w:t xml:space="preserve">      "renditions": [</w:t>
      </w:r>
      <w:br/>
      <w:r>
        <w:rPr/>
        <w:t xml:space="preserve">        "_1080.mp4",</w:t>
      </w:r>
      <w:br/>
      <w:r>
        <w:rPr/>
        <w:t xml:space="preserve">        "_720.mp4",</w:t>
      </w:r>
      <w:br/>
      <w:r>
        <w:rPr/>
        <w:t xml:space="preserve">        "_540.mp4",</w:t>
      </w:r>
      <w:br/>
      <w:r>
        <w:rPr/>
        <w:t xml:space="preserve">        "_432.mp4",</w:t>
      </w:r>
      <w:br/>
      <w:r>
        <w:rPr/>
        <w:t xml:space="preserve">        "_360.mp4",</w:t>
      </w:r>
      <w:br/>
      <w:r>
        <w:rPr/>
        <w:t xml:space="preserve">        "_272.mp4"</w:t>
      </w:r>
      <w:br/>
      <w:r>
        <w:rPr/>
        <w:t xml:space="preserve">      ]</w:t>
      </w:r>
      <w:br/>
      <w:r>
        <w:rPr/>
        <w:t xml:space="preserve">    },</w:t>
      </w:r>
      <w:br/>
      <w:r>
        <w:rPr/>
        <w:t xml:space="preserve">    "smil": {</w:t>
      </w:r>
      <w:br/>
      <w:r>
        <w:rPr/>
        <w:t xml:space="preserve">      "key": "vod/84e6299c01684780166b212c67e85b9c/13309760.smil"</w:t>
      </w:r>
      <w:br/>
      <w:r>
        <w:rPr/>
        <w:t xml:space="preserve">    },</w:t>
      </w:r>
      <w:br/>
      <w:r>
        <w:rPr/>
        <w:t xml:space="preserve">    "egress": {</w:t>
      </w:r>
      <w:br/>
      <w:r>
        <w:rPr/>
        <w:t xml:space="preserve">      "me0010-vodingest-fc23b812b30d-vod-package-mss": "https://be434bbaa90cae1ccdbdaf93e22989c9.egress.mediapackage-vod.eu-west-1.amazonaws.com/out/v1/178762be9ee24345b6d65af41e7e33ef/11cc74c729764b1fa3fc56a04e000ff8/5bfaebdca0e24d70aaaca92219945b13/index.ism/Manifest",</w:t>
      </w:r>
      <w:br/>
      <w:r>
        <w:rPr/>
        <w:t xml:space="preserve">      "me0010-vodingest-fc23b812b30d-vod-package-dash": "https://be434bbaa90cae1ccdbdaf93e22989c9.egress.mediapackage-vod.eu-west-1.amazonaws.com/out/v1/178762be9ee24345b6d65af41e7e33ef/0c7247d322734b56baf97b6eb108bfb3/a507ddc855a44bca9febdf85646fd4ca/index.mpd",</w:t>
      </w:r>
      <w:br/>
      <w:r>
        <w:rPr/>
        <w:t xml:space="preserve">      "me0010-vodingest-fc23b812b30d-vod-package-hls": "https://be434bbaa90cae1ccdbdaf93e22989c9.egress.mediapackage-vod.eu-west-1.amazonaws.com/out/v1/178762be9ee24345b6d65af41e7e33ef/6ddb1a2418fd48d897ab4e16b6475067/aaab0a7d955840258013968060289d88/index.m3u8",</w:t>
      </w:r>
      <w:br/>
      <w:r>
        <w:rPr/>
        <w:t xml:space="preserve">      "me0010-vodingest-fc23b812b30d-vod-package-cmaf": "https://be434bbaa90cae1ccdbdaf93e22989c9.egress.mediapackage-vod.eu-west-1.amazonaws.com/out/v1/178762be9ee24345b6d65af41e7e33ef/744f718578fa486d9a77ff6e25d33971/841012a4380f42aa866d9b83b49936c3/index.m3u8"</w:t>
      </w:r>
      <w:br/>
      <w:r>
        <w:rPr/>
        <w:t xml:space="preserve">    }</w:t>
      </w:r>
      <w:br/>
      <w:r>
        <w:rPr/>
        <w:t xml:space="preserve">  },</w:t>
      </w:r>
      <w:br/>
      <w:r>
        <w:rPr/>
        <w:t xml:space="preserve">  "progress": 0,</w:t>
      </w:r>
      <w:br/>
      <w:r>
        <w:rPr/>
        <w:t xml:space="preserve">  "uuid": "84e6299c01684780166b212c67e85b9c",</w:t>
      </w:r>
      <w:br/>
      <w:r>
        <w:rPr/>
        <w:t xml:space="preserve">  "status": "COMPLETED",</w:t>
      </w:r>
      <w:br/>
      <w:r>
        <w:rPr/>
        <w:t xml:space="preserve">  "tag": "StateMessage",</w:t>
      </w:r>
      <w:br/>
      <w:r>
        <w:rPr/>
        <w:t xml:space="preserve">  "stateMachine": "me0010-vodingest-fc23b812b30d-ingest"</w:t>
      </w:r>
      <w:br/>
      <w:r>
        <w:rPr/>
        <w:t xml:space="preserve">}</w:t>
      </w:r>
    </w:p>
    <w:p/>
    <w:p>
      <w:r>
        <w:rPr/>
        <w:t xml:space="preserve">You can also find the information directly from AWS Elemental MediaPackage service.</w:t>
      </w:r>
    </w:p>
    <w:p>
      <w:r>
        <w:rPr/>
        <w:t xml:space="preserve">Go to </w:t>
      </w:r>
      <w:r>
        <w:rPr>
          <w:b/>
        </w:rPr>
        <w:t xml:space="preserve">MediaPackage </w:t>
      </w:r>
      <w:r>
        <w:rPr>
          <w:b/>
        </w:rPr>
        <w:t xml:space="preserve">&gt;</w:t>
      </w:r>
      <w:r>
        <w:rPr>
          <w:b/>
        </w:rPr>
        <w:t xml:space="preserve"> Packaging groups</w:t>
      </w:r>
      <w:r>
        <w:rPr/>
        <w:t xml:space="preserve">, click on the packaging group created by the stack.</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23082"/>
                <wp:wrapTopAndBottom/>
                <wp:docPr id="15" name="media/ZLC9CAYkIZh.png"/>
                <a:graphic xmlns:a="http://schemas.openxmlformats.org/drawingml/2006/main">
                  <a:graphicData uri="http://schemas.openxmlformats.org/drawingml/2006/picture">
                    <pic:pic xmlns:pic="http://schemas.openxmlformats.org/drawingml/2006/picture">
                      <pic:nvPicPr>
                        <pic:cNvPr id="0" name="media/ZLC9CAYkIZh.png"/>
                        <pic:cNvPicPr/>
                      </pic:nvPicPr>
                      <pic:blipFill>
                        <a:blip r:embed="rId15"/>
                        <a:stretch>
                          <a:fillRect/>
                        </a:stretch>
                      </pic:blipFill>
                      <pic:spPr>
                        <a:xfrm>
                          <a:off x="0" y="0"/>
                          <a:ext cx="5352176" cy="2223082"/>
                        </a:xfrm>
                        <a:prstGeom prst="rect"/>
                      </pic:spPr>
                    </pic:pic>
                  </a:graphicData>
                </a:graphic>
              </wp:anchor>
            </w:drawing>
          </w:r>
        </w:p>
      </w:r>
    </w:p>
    <w:p/>
    <w:p>
      <w:pPr>
        <w:pStyle w:val="Heading1"/>
      </w:pPr>
      <w:r>
        <w:rPr/>
        <w:t xml:space="preserve">APPENDIX A: Supported input file formats</w:t>
      </w:r>
    </w:p>
    <w:p>
      <w:br/>
      <w:r>
        <w:rPr/>
        <w:t xml:space="preserve">The solution template registers S3 event (s3:ObjectCreated) on the IngestBucket to trigger the ingest workflow. The supported file extensions are:</w:t>
      </w:r>
    </w:p>
    <w:p>
      <w:pPr>
        <w:pStyle w:val="ListParagraph"/>
        <w:numPr>
          <w:ilvl w:val="0"/>
          <w:numId w:val="1"/>
        </w:numPr>
      </w:pPr>
      <w:r>
        <w:rPr/>
        <w:t xml:space="preserve">.mp4</w:t>
      </w:r>
    </w:p>
    <w:p>
      <w:pPr>
        <w:pStyle w:val="ListParagraph"/>
        <w:numPr>
          <w:ilvl w:val="0"/>
          <w:numId w:val="1"/>
        </w:numPr>
      </w:pPr>
      <w:r>
        <w:rPr/>
        <w:t xml:space="preserve">.mov</w:t>
      </w:r>
    </w:p>
    <w:p>
      <w:pPr>
        <w:pStyle w:val="ListParagraph"/>
        <w:numPr>
          <w:ilvl w:val="0"/>
          <w:numId w:val="1"/>
        </w:numPr>
      </w:pPr>
      <w:r>
        <w:rPr/>
        <w:t xml:space="preserve">.wmv</w:t>
      </w:r>
    </w:p>
    <w:p>
      <w:pPr>
        <w:pStyle w:val="ListParagraph"/>
        <w:numPr>
          <w:ilvl w:val="0"/>
          <w:numId w:val="1"/>
        </w:numPr>
      </w:pPr>
      <w:r>
        <w:rPr/>
        <w:t xml:space="preserve">.mxf</w:t>
      </w:r>
    </w:p>
    <w:p>
      <w:pPr>
        <w:pStyle w:val="ListParagraph"/>
        <w:numPr>
          <w:ilvl w:val="0"/>
          <w:numId w:val="1"/>
        </w:numPr>
      </w:pPr>
      <w:r>
        <w:rPr/>
        <w:t xml:space="preserve">.ts</w:t>
      </w:r>
    </w:p>
    <w:p>
      <w:pPr>
        <w:pStyle w:val="ListParagraph"/>
        <w:numPr>
          <w:ilvl w:val="0"/>
          <w:numId w:val="1"/>
        </w:numPr>
      </w:pPr>
      <w:r>
        <w:rPr/>
        <w:t xml:space="preserve">.mpg</w:t>
      </w:r>
    </w:p>
    <w:p>
      <w:pPr>
        <w:pStyle w:val="ListParagraph"/>
        <w:numPr>
          <w:ilvl w:val="0"/>
          <w:numId w:val="1"/>
        </w:numPr>
      </w:pPr>
      <w:r>
        <w:rPr/>
        <w:t xml:space="preserve">.mpeg</w:t>
      </w:r>
    </w:p>
    <w:p/>
    <w:p>
      <w:pPr>
        <w:pStyle w:val="Heading1"/>
      </w:pPr>
      <w:r>
        <w:rPr/>
        <w:t xml:space="preserve">APPENDIX B: Ingest state machine</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927757"/>
                <wp:wrapTopAndBottom/>
                <wp:docPr id="16" name="media/ZLC9CAlOaiM.png"/>
                <a:graphic xmlns:a="http://schemas.openxmlformats.org/drawingml/2006/main">
                  <a:graphicData uri="http://schemas.openxmlformats.org/drawingml/2006/picture">
                    <pic:pic xmlns:pic="http://schemas.openxmlformats.org/drawingml/2006/picture">
                      <pic:nvPicPr>
                        <pic:cNvPr id="0" name="media/ZLC9CAlOaiM.png"/>
                        <pic:cNvPicPr/>
                      </pic:nvPicPr>
                      <pic:blipFill>
                        <a:blip r:embed="rId16"/>
                        <a:stretch>
                          <a:fillRect/>
                        </a:stretch>
                      </pic:blipFill>
                      <pic:spPr>
                        <a:xfrm>
                          <a:off x="0" y="0"/>
                          <a:ext cx="5352176" cy="2927757"/>
                        </a:xfrm>
                        <a:prstGeom prst="rect"/>
                      </pic:spPr>
                    </pic:pic>
                  </a:graphicData>
                </a:graphic>
              </wp:anchor>
            </w:drawing>
          </w:r>
        </w:p>
      </w:r>
    </w:p>
    <w:p/>
    <w:p/>
    <w:p>
      <w:r>
        <w:rPr/>
        <w:t xml:space="preserve">That’s all!</w:t>
      </w:r>
    </w:p>
    <w:p/>
    <w:p w:rsidR="00377E5B" w:rsidRDefault="00377E5B">
      <w:bookmarkStart w:id="0" w:name="_GoBack"/>
      <w:bookmarkEnd w:id="0"/>
    </w:p>
    <w:sectPr w:rsidR="00377E5B" w:rsidSect="00377E5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FAC"/>
    <w:rsid w:val="002F2E9B"/>
    <w:rsid w:val="00306FAC"/>
    <w:rsid w:val="003421ED"/>
    <w:rsid w:val="00377E5B"/>
    <w:rsid w:val="004211B1"/>
    <w:rsid w:val="00562D31"/>
    <w:rsid w:val="005E491B"/>
    <w:rsid w:val="006D18F6"/>
    <w:rsid w:val="00832456"/>
    <w:rsid w:val="00AC7BDF"/>
    <w:rsid w:val="00D31A0D"/>
    <w:rsid w:val="00D977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A35FB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Relationships xmlns="http://schemas.openxmlformats.org/package/2006/relationships">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image" Target="media/image1.jpg"/>
  <Relationship Id="rId6" Type="http://schemas.openxmlformats.org/officeDocument/2006/relationships/fontTable" Target="fontTable.xml"/>
  <Relationship Id="rId7" Type="http://schemas.openxmlformats.org/officeDocument/2006/relationships/theme" Target="theme/theme1.xml"/>
  <Relationship Id="rId1" Type="http://schemas.openxmlformats.org/officeDocument/2006/relationships/styles" Target="styles.xml"/>
  <Relationship Id="rId2" Type="http://schemas.microsoft.com/office/2007/relationships/stylesWithEffects" Target="stylesWithEffects.xml"/>
  <Relationship Id="rId8" Type="http://schemas.openxmlformats.org/officeDocument/2006/relationships/numbering" Target="numbering.xml"/>
  <Relationship Id="rId9" Target="media/ZLC9CAJ54GY.png" Type="http://schemas.openxmlformats.org/officeDocument/2006/relationships/image"/>
<Relationship Id="rId11" Target="media/ZLC9CApDCW9.png" Type="http://schemas.openxmlformats.org/officeDocument/2006/relationships/image"/>
<Relationship Id="rId12" Target="media/ZLC9CABJjPn.png" Type="http://schemas.openxmlformats.org/officeDocument/2006/relationships/image"/>
<Relationship Id="rId13" Target="media/ZLC9CABoBSm.png" Type="http://schemas.openxmlformats.org/officeDocument/2006/relationships/image"/>
<Relationship Id="rId14" Target="media/ZLC9CAtxvfP.png" Type="http://schemas.openxmlformats.org/officeDocument/2006/relationships/image"/>
<Relationship Id="rId15" Target="media/ZLC9CAYkIZh.png" Type="http://schemas.openxmlformats.org/officeDocument/2006/relationships/image"/>
<Relationship Id="rId16" Target="media/ZLC9CAlOaiM.png" Type="http://schemas.openxmlformats.org/officeDocument/2006/relationships/image"/>
<Relationship Id="rId10" Target="https://mediaent-solution-eu-west-1.s3-eu-west-1.amazonaws.com/vod-ingest/v0.0.1/vod-ingest-deploy.template" TargetMode="External" Type="http://schemas.openxmlformats.org/officeDocument/2006/relationships/hyperlink"/>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Words>
  <Characters>200</Characters>
  <Application>Microsoft Macintosh Word</Application>
  <DocSecurity>0</DocSecurity>
  <Lines>1</Lines>
  <Paragraphs>1</Paragraphs>
  <ScaleCrop>false</ScaleCrop>
  <Company/>
  <LinksUpToDate>false</LinksUpToDate>
  <CharactersWithSpaces>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Step-by-step guide to install VOD ingest solution</dc:title>
  <dc:subject>
  </dc:subject>
  <dc:creator>Ken Shek</dc:creator>
  <cp:keywords>
  </cp:keywords>
  <dc:description>
  </dc:description>
  <cp:lastModifiedBy>Ken Shek</cp:lastModifiedBy>
  <cp:revision>1</cp:revision>
  <dcterms:created xsi:type="dcterms:W3CDTF">2019-07-19T20:18:51Z</dcterms:created>
  <dcterms:modified xsi:type="dcterms:W3CDTF">2019-09-06T19:10:34Z</dcterms:modified>
</cp:coreProperties>
</file>