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92F"/>
          <w:sz w:val="26"/>
        </w:rPr>
        <w:t>JAWAHARLAL NEHRU TECHNOLOGICAL UNIVERSITY HYDERABAD</w:t>
        <w:br/>
      </w:r>
      <w:r>
        <w:rPr>
          <w:b/>
          <w:sz w:val="22"/>
        </w:rPr>
        <w:t>UNIVERSITY COLLEGE OF ENGINEERING, SCIENCE AND TECHNOLOGY HYDERABAD</w:t>
        <w:br/>
      </w:r>
      <w:r>
        <w:rPr>
          <w:b/>
          <w:sz w:val="22"/>
        </w:rPr>
        <w:t>DEPARTMENT OF COMPUTER SCIENCE AND ENGINEERING</w:t>
        <w:br/>
        <w:br/>
      </w:r>
      <w:r>
        <w:rPr>
          <w:b/>
          <w:color w:val="8B0000"/>
          <w:sz w:val="24"/>
        </w:rPr>
        <w:t>FINAL ACADEMIC PROJECT REPORT</w:t>
        <w:br/>
      </w:r>
      <w:r>
        <w:rPr>
          <w:sz w:val="20"/>
        </w:rPr>
        <w:t>MINI PROJECT WITH SEMINAR (B.Tech - IDP 5th Year, I Sem)</w:t>
        <w:br/>
        <w:br/>
      </w:r>
      <w:r>
        <w:rPr>
          <w:b/>
          <w:color w:val="0A192F"/>
          <w:sz w:val="28"/>
        </w:rPr>
        <w:t>NYAYAROUTE: AN EVIDENCE-GATED, PRE-GENERATION RETRIEVAL-CONTROL AGENTIC RAG SYSTEM FOR INDIAN LEGAL QUESTION ANSWERING</w:t>
        <w:br/>
        <w:br/>
      </w:r>
    </w:p>
    <w:p>
      <w:pPr>
        <w:pStyle w:val="Heading2"/>
        <w:spacing w:before="200" w:after="80"/>
      </w:pPr>
      <w:r>
        <w:t>PROJECT MEMBERS &amp; ACADEMIC CREDENTIALS:</w:t>
      </w:r>
    </w:p>
    <w:tbl>
      <w:tblPr>
        <w:tblW w:type="auto" w:w="0"/>
        <w:jc w:val="center"/>
        <w:tblLayout w:type="fixed"/>
        <w:tblLook w:firstColumn="1" w:firstRow="1" w:lastColumn="0" w:lastRow="0" w:noHBand="0" w:noVBand="1" w:val="04A0"/>
      </w:tblPr>
      <w:tblGrid>
        <w:gridCol w:w="3120"/>
        <w:gridCol w:w="3120"/>
        <w:gridCol w:w="3120"/>
      </w:tblGrid>
      <w:tr>
        <w:tc>
          <w:tcPr>
            <w:tcW w:type="dxa" w:w="1152"/>
            <w:shd w:val="clear" w:color="auto" w:fill="0A192F"/>
            <w:tcMar>
              <w:top w:w="100" w:type="dxa"/>
              <w:bottom w:w="100" w:type="dxa"/>
              <w:left w:w="120" w:type="dxa"/>
              <w:right w:w="120" w:type="dxa"/>
            </w:tcMar>
          </w:tcPr>
          <w:p>
            <w:pPr>
              <w:spacing w:before="40" w:after="40"/>
            </w:pPr>
            <w:r>
              <w:rPr>
                <w:rFonts w:ascii="Calibri" w:hAnsi="Calibri"/>
                <w:b/>
                <w:color w:val="FFFFFF"/>
                <w:sz w:val="19"/>
              </w:rPr>
              <w:t>S. No.</w:t>
            </w:r>
          </w:p>
        </w:tc>
        <w:tc>
          <w:tcPr>
            <w:tcW w:type="dxa" w:w="4608"/>
            <w:shd w:val="clear" w:color="auto" w:fill="0A192F"/>
            <w:tcMar>
              <w:top w:w="100" w:type="dxa"/>
              <w:bottom w:w="100" w:type="dxa"/>
              <w:left w:w="120" w:type="dxa"/>
              <w:right w:w="120" w:type="dxa"/>
            </w:tcMar>
          </w:tcPr>
          <w:p>
            <w:pPr>
              <w:spacing w:before="40" w:after="40"/>
            </w:pPr>
            <w:r>
              <w:rPr>
                <w:rFonts w:ascii="Calibri" w:hAnsi="Calibri"/>
                <w:b/>
                <w:color w:val="FFFFFF"/>
                <w:sz w:val="19"/>
              </w:rPr>
              <w:t>Candidate Name</w:t>
            </w:r>
          </w:p>
        </w:tc>
        <w:tc>
          <w:tcPr>
            <w:tcW w:type="dxa" w:w="3600"/>
            <w:shd w:val="clear" w:color="auto" w:fill="0A192F"/>
            <w:tcMar>
              <w:top w:w="100" w:type="dxa"/>
              <w:bottom w:w="100" w:type="dxa"/>
              <w:left w:w="120" w:type="dxa"/>
              <w:right w:w="120" w:type="dxa"/>
            </w:tcMar>
          </w:tcPr>
          <w:p>
            <w:pPr>
              <w:spacing w:before="40" w:after="40"/>
            </w:pPr>
            <w:r>
              <w:rPr>
                <w:rFonts w:ascii="Calibri" w:hAnsi="Calibri"/>
                <w:b/>
                <w:color w:val="FFFFFF"/>
                <w:sz w:val="19"/>
              </w:rPr>
              <w:t>Roll Number</w:t>
            </w:r>
          </w:p>
        </w:tc>
      </w:tr>
      <w:tr>
        <w:tc>
          <w:tcPr>
            <w:tcW w:type="dxa" w:w="1152"/>
            <w:shd w:val="clear" w:color="auto" w:fill="FFFFFF"/>
            <w:tcMar>
              <w:top w:w="80" w:type="dxa"/>
              <w:bottom w:w="80" w:type="dxa"/>
              <w:left w:w="120" w:type="dxa"/>
              <w:right w:w="120" w:type="dxa"/>
            </w:tcMar>
          </w:tcPr>
          <w:p>
            <w:pPr>
              <w:spacing w:before="40" w:after="40"/>
            </w:pPr>
            <w:r>
              <w:rPr>
                <w:rFonts w:ascii="Calibri" w:hAnsi="Calibri"/>
                <w:sz w:val="18"/>
              </w:rPr>
              <w:t>1</w:t>
            </w:r>
          </w:p>
        </w:tc>
        <w:tc>
          <w:tcPr>
            <w:tcW w:type="dxa" w:w="4608"/>
            <w:shd w:val="clear" w:color="auto" w:fill="FFFFFF"/>
            <w:tcMar>
              <w:top w:w="80" w:type="dxa"/>
              <w:bottom w:w="80" w:type="dxa"/>
              <w:left w:w="120" w:type="dxa"/>
              <w:right w:w="120" w:type="dxa"/>
            </w:tcMar>
          </w:tcPr>
          <w:p>
            <w:pPr>
              <w:spacing w:before="40" w:after="40"/>
            </w:pPr>
            <w:r>
              <w:rPr>
                <w:rFonts w:ascii="Calibri" w:hAnsi="Calibri"/>
                <w:sz w:val="18"/>
              </w:rPr>
              <w:t>V. Vybhavi</w:t>
            </w:r>
          </w:p>
        </w:tc>
        <w:tc>
          <w:tcPr>
            <w:tcW w:type="dxa" w:w="3600"/>
            <w:shd w:val="clear" w:color="auto" w:fill="FFFFFF"/>
            <w:tcMar>
              <w:top w:w="80" w:type="dxa"/>
              <w:bottom w:w="80" w:type="dxa"/>
              <w:left w:w="120" w:type="dxa"/>
              <w:right w:w="120" w:type="dxa"/>
            </w:tcMar>
          </w:tcPr>
          <w:p>
            <w:pPr>
              <w:spacing w:before="40" w:after="40"/>
            </w:pPr>
            <w:r>
              <w:rPr>
                <w:rFonts w:ascii="Calibri" w:hAnsi="Calibri"/>
                <w:sz w:val="18"/>
              </w:rPr>
              <w:t>22011P0502</w:t>
            </w:r>
          </w:p>
        </w:tc>
      </w:tr>
      <w:tr>
        <w:tc>
          <w:tcPr>
            <w:tcW w:type="dxa" w:w="1152"/>
            <w:shd w:val="clear" w:color="auto" w:fill="F7F9FC"/>
            <w:tcMar>
              <w:top w:w="80" w:type="dxa"/>
              <w:bottom w:w="80" w:type="dxa"/>
              <w:left w:w="120" w:type="dxa"/>
              <w:right w:w="120" w:type="dxa"/>
            </w:tcMar>
          </w:tcPr>
          <w:p>
            <w:pPr>
              <w:spacing w:before="40" w:after="40"/>
            </w:pPr>
            <w:r>
              <w:rPr>
                <w:rFonts w:ascii="Calibri" w:hAnsi="Calibri"/>
                <w:sz w:val="18"/>
              </w:rPr>
              <w:t>2</w:t>
            </w:r>
          </w:p>
        </w:tc>
        <w:tc>
          <w:tcPr>
            <w:tcW w:type="dxa" w:w="4608"/>
            <w:shd w:val="clear" w:color="auto" w:fill="F7F9FC"/>
            <w:tcMar>
              <w:top w:w="80" w:type="dxa"/>
              <w:bottom w:w="80" w:type="dxa"/>
              <w:left w:w="120" w:type="dxa"/>
              <w:right w:w="120" w:type="dxa"/>
            </w:tcMar>
          </w:tcPr>
          <w:p>
            <w:pPr>
              <w:spacing w:before="40" w:after="40"/>
            </w:pPr>
            <w:r>
              <w:rPr>
                <w:rFonts w:ascii="Calibri" w:hAnsi="Calibri"/>
                <w:sz w:val="18"/>
              </w:rPr>
              <w:t>K. Greeshma</w:t>
            </w:r>
          </w:p>
        </w:tc>
        <w:tc>
          <w:tcPr>
            <w:tcW w:type="dxa" w:w="3600"/>
            <w:shd w:val="clear" w:color="auto" w:fill="F7F9FC"/>
            <w:tcMar>
              <w:top w:w="80" w:type="dxa"/>
              <w:bottom w:w="80" w:type="dxa"/>
              <w:left w:w="120" w:type="dxa"/>
              <w:right w:w="120" w:type="dxa"/>
            </w:tcMar>
          </w:tcPr>
          <w:p>
            <w:pPr>
              <w:spacing w:before="40" w:after="40"/>
            </w:pPr>
            <w:r>
              <w:rPr>
                <w:rFonts w:ascii="Calibri" w:hAnsi="Calibri"/>
                <w:sz w:val="18"/>
              </w:rPr>
              <w:t>22011P0504</w:t>
            </w:r>
          </w:p>
        </w:tc>
      </w:tr>
      <w:tr>
        <w:tc>
          <w:tcPr>
            <w:tcW w:type="dxa" w:w="1152"/>
            <w:shd w:val="clear" w:color="auto" w:fill="FFFFFF"/>
            <w:tcMar>
              <w:top w:w="80" w:type="dxa"/>
              <w:bottom w:w="80" w:type="dxa"/>
              <w:left w:w="120" w:type="dxa"/>
              <w:right w:w="120" w:type="dxa"/>
            </w:tcMar>
          </w:tcPr>
          <w:p>
            <w:pPr>
              <w:spacing w:before="40" w:after="40"/>
            </w:pPr>
            <w:r>
              <w:rPr>
                <w:rFonts w:ascii="Calibri" w:hAnsi="Calibri"/>
                <w:sz w:val="18"/>
              </w:rPr>
              <w:t>3</w:t>
            </w:r>
          </w:p>
        </w:tc>
        <w:tc>
          <w:tcPr>
            <w:tcW w:type="dxa" w:w="4608"/>
            <w:shd w:val="clear" w:color="auto" w:fill="FFFFFF"/>
            <w:tcMar>
              <w:top w:w="80" w:type="dxa"/>
              <w:bottom w:w="80" w:type="dxa"/>
              <w:left w:w="120" w:type="dxa"/>
              <w:right w:w="120" w:type="dxa"/>
            </w:tcMar>
          </w:tcPr>
          <w:p>
            <w:pPr>
              <w:spacing w:before="40" w:after="40"/>
            </w:pPr>
            <w:r>
              <w:rPr>
                <w:rFonts w:ascii="Calibri" w:hAnsi="Calibri"/>
                <w:sz w:val="18"/>
              </w:rPr>
              <w:t>P. Gnana Laya Reddy</w:t>
            </w:r>
          </w:p>
        </w:tc>
        <w:tc>
          <w:tcPr>
            <w:tcW w:type="dxa" w:w="3600"/>
            <w:shd w:val="clear" w:color="auto" w:fill="FFFFFF"/>
            <w:tcMar>
              <w:top w:w="80" w:type="dxa"/>
              <w:bottom w:w="80" w:type="dxa"/>
              <w:left w:w="120" w:type="dxa"/>
              <w:right w:w="120" w:type="dxa"/>
            </w:tcMar>
          </w:tcPr>
          <w:p>
            <w:pPr>
              <w:spacing w:before="40" w:after="40"/>
            </w:pPr>
            <w:r>
              <w:rPr>
                <w:rFonts w:ascii="Calibri" w:hAnsi="Calibri"/>
                <w:sz w:val="18"/>
              </w:rPr>
              <w:t>22011P0507</w:t>
            </w:r>
          </w:p>
        </w:tc>
      </w:tr>
      <w:tr>
        <w:tc>
          <w:tcPr>
            <w:tcW w:type="dxa" w:w="1152"/>
            <w:shd w:val="clear" w:color="auto" w:fill="F7F9FC"/>
            <w:tcMar>
              <w:top w:w="80" w:type="dxa"/>
              <w:bottom w:w="80" w:type="dxa"/>
              <w:left w:w="120" w:type="dxa"/>
              <w:right w:w="120" w:type="dxa"/>
            </w:tcMar>
          </w:tcPr>
          <w:p>
            <w:pPr>
              <w:spacing w:before="40" w:after="40"/>
            </w:pPr>
            <w:r>
              <w:rPr>
                <w:rFonts w:ascii="Calibri" w:hAnsi="Calibri"/>
                <w:sz w:val="18"/>
              </w:rPr>
              <w:t>4</w:t>
            </w:r>
          </w:p>
        </w:tc>
        <w:tc>
          <w:tcPr>
            <w:tcW w:type="dxa" w:w="4608"/>
            <w:shd w:val="clear" w:color="auto" w:fill="F7F9FC"/>
            <w:tcMar>
              <w:top w:w="80" w:type="dxa"/>
              <w:bottom w:w="80" w:type="dxa"/>
              <w:left w:w="120" w:type="dxa"/>
              <w:right w:w="120" w:type="dxa"/>
            </w:tcMar>
          </w:tcPr>
          <w:p>
            <w:pPr>
              <w:spacing w:before="40" w:after="40"/>
            </w:pPr>
            <w:r>
              <w:rPr>
                <w:rFonts w:ascii="Calibri" w:hAnsi="Calibri"/>
                <w:sz w:val="18"/>
              </w:rPr>
              <w:t>M. Akash Reddy</w:t>
            </w:r>
          </w:p>
        </w:tc>
        <w:tc>
          <w:tcPr>
            <w:tcW w:type="dxa" w:w="3600"/>
            <w:shd w:val="clear" w:color="auto" w:fill="F7F9FC"/>
            <w:tcMar>
              <w:top w:w="80" w:type="dxa"/>
              <w:bottom w:w="80" w:type="dxa"/>
              <w:left w:w="120" w:type="dxa"/>
              <w:right w:w="120" w:type="dxa"/>
            </w:tcMar>
          </w:tcPr>
          <w:p>
            <w:pPr>
              <w:spacing w:before="40" w:after="40"/>
            </w:pPr>
            <w:r>
              <w:rPr>
                <w:rFonts w:ascii="Calibri" w:hAnsi="Calibri"/>
                <w:sz w:val="18"/>
              </w:rPr>
              <w:t>22011P0509</w:t>
            </w:r>
          </w:p>
        </w:tc>
      </w:tr>
      <w:tr>
        <w:tc>
          <w:tcPr>
            <w:tcW w:type="dxa" w:w="1152"/>
            <w:shd w:val="clear" w:color="auto" w:fill="FFFFFF"/>
            <w:tcMar>
              <w:top w:w="80" w:type="dxa"/>
              <w:bottom w:w="80" w:type="dxa"/>
              <w:left w:w="120" w:type="dxa"/>
              <w:right w:w="120" w:type="dxa"/>
            </w:tcMar>
          </w:tcPr>
          <w:p>
            <w:pPr>
              <w:spacing w:before="40" w:after="40"/>
            </w:pPr>
            <w:r>
              <w:rPr>
                <w:rFonts w:ascii="Calibri" w:hAnsi="Calibri"/>
                <w:sz w:val="18"/>
              </w:rPr>
              <w:t>5</w:t>
            </w:r>
          </w:p>
        </w:tc>
        <w:tc>
          <w:tcPr>
            <w:tcW w:type="dxa" w:w="4608"/>
            <w:shd w:val="clear" w:color="auto" w:fill="FFFFFF"/>
            <w:tcMar>
              <w:top w:w="80" w:type="dxa"/>
              <w:bottom w:w="80" w:type="dxa"/>
              <w:left w:w="120" w:type="dxa"/>
              <w:right w:w="120" w:type="dxa"/>
            </w:tcMar>
          </w:tcPr>
          <w:p>
            <w:pPr>
              <w:spacing w:before="40" w:after="40"/>
            </w:pPr>
            <w:r>
              <w:rPr>
                <w:rFonts w:ascii="Calibri" w:hAnsi="Calibri"/>
                <w:sz w:val="18"/>
              </w:rPr>
              <w:t>G. Rahul</w:t>
            </w:r>
          </w:p>
        </w:tc>
        <w:tc>
          <w:tcPr>
            <w:tcW w:type="dxa" w:w="3600"/>
            <w:shd w:val="clear" w:color="auto" w:fill="FFFFFF"/>
            <w:tcMar>
              <w:top w:w="80" w:type="dxa"/>
              <w:bottom w:w="80" w:type="dxa"/>
              <w:left w:w="120" w:type="dxa"/>
              <w:right w:w="120" w:type="dxa"/>
            </w:tcMar>
          </w:tcPr>
          <w:p>
            <w:pPr>
              <w:spacing w:before="40" w:after="40"/>
            </w:pPr>
            <w:r>
              <w:rPr>
                <w:rFonts w:ascii="Calibri" w:hAnsi="Calibri"/>
                <w:sz w:val="18"/>
              </w:rPr>
              <w:t>22011P0549</w:t>
            </w:r>
          </w:p>
        </w:tc>
      </w:tr>
      <w:tr>
        <w:tc>
          <w:tcPr>
            <w:tcW w:type="dxa" w:w="1152"/>
            <w:shd w:val="clear" w:color="auto" w:fill="F7F9FC"/>
            <w:tcMar>
              <w:top w:w="80" w:type="dxa"/>
              <w:bottom w:w="80" w:type="dxa"/>
              <w:left w:w="120" w:type="dxa"/>
              <w:right w:w="120" w:type="dxa"/>
            </w:tcMar>
          </w:tcPr>
          <w:p>
            <w:pPr>
              <w:spacing w:before="40" w:after="40"/>
            </w:pPr>
            <w:r>
              <w:rPr>
                <w:rFonts w:ascii="Calibri" w:hAnsi="Calibri"/>
                <w:sz w:val="18"/>
              </w:rPr>
              <w:t>6</w:t>
            </w:r>
          </w:p>
        </w:tc>
        <w:tc>
          <w:tcPr>
            <w:tcW w:type="dxa" w:w="4608"/>
            <w:shd w:val="clear" w:color="auto" w:fill="F7F9FC"/>
            <w:tcMar>
              <w:top w:w="80" w:type="dxa"/>
              <w:bottom w:w="80" w:type="dxa"/>
              <w:left w:w="120" w:type="dxa"/>
              <w:right w:w="120" w:type="dxa"/>
            </w:tcMar>
          </w:tcPr>
          <w:p>
            <w:pPr>
              <w:spacing w:before="40" w:after="40"/>
            </w:pPr>
            <w:r>
              <w:rPr>
                <w:rFonts w:ascii="Calibri" w:hAnsi="Calibri"/>
                <w:sz w:val="18"/>
              </w:rPr>
              <w:t>D. Vaishnavi</w:t>
            </w:r>
          </w:p>
        </w:tc>
        <w:tc>
          <w:tcPr>
            <w:tcW w:type="dxa" w:w="3600"/>
            <w:shd w:val="clear" w:color="auto" w:fill="F7F9FC"/>
            <w:tcMar>
              <w:top w:w="80" w:type="dxa"/>
              <w:bottom w:w="80" w:type="dxa"/>
              <w:left w:w="120" w:type="dxa"/>
              <w:right w:w="120" w:type="dxa"/>
            </w:tcMar>
          </w:tcPr>
          <w:p>
            <w:pPr>
              <w:spacing w:before="40" w:after="40"/>
            </w:pPr>
            <w:r>
              <w:rPr>
                <w:rFonts w:ascii="Calibri" w:hAnsi="Calibri"/>
                <w:sz w:val="18"/>
              </w:rPr>
              <w:t>22011P0552</w:t>
            </w:r>
          </w:p>
        </w:tc>
      </w:tr>
    </w:tbl>
    <w:p>
      <w:pPr>
        <w:spacing w:before="0" w:after="120"/>
      </w:pPr>
    </w:p>
    <w:p>
      <w:pPr>
        <w:pStyle w:val="Heading1"/>
        <w:spacing w:before="280" w:after="120"/>
      </w:pPr>
      <w:r>
        <w:t>ABSTRACT</w:t>
      </w:r>
    </w:p>
    <w:p>
      <w:pPr>
        <w:spacing w:before="0" w:after="100" w:line="276" w:lineRule="auto"/>
      </w:pPr>
      <w:r>
        <w:t>Large Language Models (LLMs) demonstrate remarkable fluency in natural language processing; however, in high-stakes domains such as legal jurisprudence, standard generation models exhibit severe vulnerability to factual hallucination, statutory clause misattribution, and reliance on outdated or non-existent precedents. While conventional Retrieval-Augmented Generation (RAG) attempts to mitigate these defects by anchoring generation to retrieved external documents, traditional single-pass pipelines blindly feed retrieved passages to the generator regardless of evidence relevance or sufficiency. Existing agentic approaches (such as the base architecture by Woo et al., 2025) introduce evaluative feedback loops but position the judge LLM post-generation, wasting inference computational budget and risking ungrounded generation if post-validation fails.</w:t>
      </w:r>
    </w:p>
    <w:p>
      <w:pPr>
        <w:spacing w:before="0" w:after="100" w:line="276" w:lineRule="auto"/>
      </w:pPr>
      <w:r>
        <w:t>This project introduces NyayaRoute, an intelligent, evidence-gated, pre-generation retrieval-control agentic RAG system specifically architected for Indian legal jurisprudence. NyayaRoute fundamentally shifts the agentic verification control point to prior to answer synthesis. The system implements an end-to-end 7-stage pipeline: (1) Rule-based Legal Query Analysis and Taxonomy Extraction, (2) Autonomous Layman Query Reformulation with legal abbreviation expansion and negative lookaheads, (3) Tri-Modal Adaptive Routing dynamically selecting between BM25 sparse lexical matching, FAISS dense semantic indexing, and Reciprocal Rank Fusion (RRF), (4) Neural Cross-Encoder Reranking (ms-marco-MiniLM-L-6-v2), (5) Pre-Generation Evidence Sufficiency Gating, (6) Autonomous Self-Correction Retry Enrichment, and (7) Grounded Synthesis or explicit Insufficient Evidence Declaration.</w:t>
      </w:r>
    </w:p>
    <w:p>
      <w:pPr>
        <w:spacing w:before="0" w:after="100" w:line="276" w:lineRule="auto"/>
      </w:pPr>
      <w:r>
        <w:t>NyayaRoute is evaluated on IndicLegalQA (a comprehensive dataset of 10,002 question-answer pairs derived from 1,256 landmark Supreme Court of India judgments) across extensive 50-query and 500-query benchmark batches, and audited via an automated 70-test software verification suite. Empirical findings prove that NyayaRoute achieves 90.2%–94.0% Recall@5, 64.6%–66.8% Precision@5, 0.83–0.88 MRR, and maintains a responsive end-to-end latency of 1.51s–1.57s. Crucially, when authoritative primary evidence is absent, NyayaRoute cleanly declines to answer, eliminating unsupported legal advice.</w:t>
      </w:r>
    </w:p>
    <w:p>
      <w:pPr>
        <w:pStyle w:val="Heading1"/>
        <w:spacing w:before="280" w:after="120"/>
      </w:pPr>
      <w:r>
        <w:t>TABLE OF CONTENTS</w:t>
      </w:r>
    </w:p>
    <w:tbl>
      <w:tblPr>
        <w:tblW w:type="auto" w:w="0"/>
        <w:jc w:val="center"/>
        <w:tblLayout w:type="fixed"/>
        <w:tblLook w:firstColumn="1" w:firstRow="1" w:lastColumn="0" w:lastRow="0" w:noHBand="0" w:noVBand="1" w:val="04A0"/>
      </w:tblPr>
      <w:tblGrid>
        <w:gridCol w:w="3120"/>
        <w:gridCol w:w="3120"/>
        <w:gridCol w:w="3120"/>
      </w:tblGrid>
      <w:tr>
        <w:tc>
          <w:tcPr>
            <w:tcW w:type="dxa" w:w="2160"/>
            <w:shd w:val="clear" w:color="auto" w:fill="0A192F"/>
            <w:tcMar>
              <w:top w:w="100" w:type="dxa"/>
              <w:bottom w:w="100" w:type="dxa"/>
              <w:left w:w="120" w:type="dxa"/>
              <w:right w:w="120" w:type="dxa"/>
            </w:tcMar>
          </w:tcPr>
          <w:p>
            <w:pPr>
              <w:spacing w:before="40" w:after="40"/>
            </w:pPr>
            <w:r>
              <w:rPr>
                <w:rFonts w:ascii="Calibri" w:hAnsi="Calibri"/>
                <w:b/>
                <w:color w:val="FFFFFF"/>
                <w:sz w:val="19"/>
              </w:rPr>
              <w:t>Chapter No.</w:t>
            </w:r>
          </w:p>
        </w:tc>
        <w:tc>
          <w:tcPr>
            <w:tcW w:type="dxa" w:w="5760"/>
            <w:shd w:val="clear" w:color="auto" w:fill="0A192F"/>
            <w:tcMar>
              <w:top w:w="100" w:type="dxa"/>
              <w:bottom w:w="100" w:type="dxa"/>
              <w:left w:w="120" w:type="dxa"/>
              <w:right w:w="120" w:type="dxa"/>
            </w:tcMar>
          </w:tcPr>
          <w:p>
            <w:pPr>
              <w:spacing w:before="40" w:after="40"/>
            </w:pPr>
            <w:r>
              <w:rPr>
                <w:rFonts w:ascii="Calibri" w:hAnsi="Calibri"/>
                <w:b/>
                <w:color w:val="FFFFFF"/>
                <w:sz w:val="19"/>
              </w:rPr>
              <w:t>Chapter Title / Subsection</w:t>
            </w:r>
          </w:p>
        </w:tc>
        <w:tc>
          <w:tcPr>
            <w:tcW w:type="dxa" w:w="1440"/>
            <w:shd w:val="clear" w:color="auto" w:fill="0A192F"/>
            <w:tcMar>
              <w:top w:w="100" w:type="dxa"/>
              <w:bottom w:w="100" w:type="dxa"/>
              <w:left w:w="120" w:type="dxa"/>
              <w:right w:w="120" w:type="dxa"/>
            </w:tcMar>
          </w:tcPr>
          <w:p>
            <w:pPr>
              <w:spacing w:before="40" w:after="40"/>
            </w:pPr>
            <w:r>
              <w:rPr>
                <w:rFonts w:ascii="Calibri" w:hAnsi="Calibri"/>
                <w:b/>
                <w:color w:val="FFFFFF"/>
                <w:sz w:val="19"/>
              </w:rPr>
              <w:t>Page Range</w:t>
            </w:r>
          </w:p>
        </w:tc>
      </w:tr>
      <w:tr>
        <w:tc>
          <w:tcPr>
            <w:tcW w:type="dxa" w:w="2160"/>
            <w:shd w:val="clear" w:color="auto" w:fill="FFFFFF"/>
            <w:tcMar>
              <w:top w:w="80" w:type="dxa"/>
              <w:bottom w:w="80" w:type="dxa"/>
              <w:left w:w="120" w:type="dxa"/>
              <w:right w:w="120" w:type="dxa"/>
            </w:tcMar>
          </w:tcPr>
          <w:p>
            <w:pPr>
              <w:spacing w:before="40" w:after="40"/>
            </w:pPr>
            <w:r>
              <w:rPr>
                <w:rFonts w:ascii="Calibri" w:hAnsi="Calibri"/>
                <w:sz w:val="18"/>
              </w:rPr>
              <w:t>Chapter 1</w:t>
            </w:r>
          </w:p>
        </w:tc>
        <w:tc>
          <w:tcPr>
            <w:tcW w:type="dxa" w:w="5760"/>
            <w:shd w:val="clear" w:color="auto" w:fill="FFFFFF"/>
            <w:tcMar>
              <w:top w:w="80" w:type="dxa"/>
              <w:bottom w:w="80" w:type="dxa"/>
              <w:left w:w="120" w:type="dxa"/>
              <w:right w:w="120" w:type="dxa"/>
            </w:tcMar>
          </w:tcPr>
          <w:p>
            <w:pPr>
              <w:spacing w:before="40" w:after="40"/>
            </w:pPr>
            <w:r>
              <w:rPr>
                <w:rFonts w:ascii="Calibri" w:hAnsi="Calibri"/>
                <w:sz w:val="18"/>
              </w:rPr>
              <w:t>Introduction, Background &amp; Problem Formulation</w:t>
            </w:r>
          </w:p>
        </w:tc>
        <w:tc>
          <w:tcPr>
            <w:tcW w:type="dxa" w:w="1440"/>
            <w:shd w:val="clear" w:color="auto" w:fill="FFFFFF"/>
            <w:tcMar>
              <w:top w:w="80" w:type="dxa"/>
              <w:bottom w:w="80" w:type="dxa"/>
              <w:left w:w="120" w:type="dxa"/>
              <w:right w:w="120" w:type="dxa"/>
            </w:tcMar>
          </w:tcPr>
          <w:p>
            <w:pPr>
              <w:spacing w:before="40" w:after="40"/>
            </w:pPr>
            <w:r>
              <w:rPr>
                <w:rFonts w:ascii="Calibri" w:hAnsi="Calibri"/>
                <w:sz w:val="18"/>
              </w:rPr>
              <w:t>1 – 6</w:t>
            </w:r>
          </w:p>
        </w:tc>
      </w:tr>
      <w:tr>
        <w:tc>
          <w:tcPr>
            <w:tcW w:type="dxa" w:w="2160"/>
            <w:shd w:val="clear" w:color="auto" w:fill="F7F9FC"/>
            <w:tcMar>
              <w:top w:w="80" w:type="dxa"/>
              <w:bottom w:w="80" w:type="dxa"/>
              <w:left w:w="120" w:type="dxa"/>
              <w:right w:w="120" w:type="dxa"/>
            </w:tcMar>
          </w:tcPr>
          <w:p>
            <w:pPr>
              <w:spacing w:before="40" w:after="40"/>
            </w:pPr>
            <w:r>
              <w:rPr>
                <w:rFonts w:ascii="Calibri" w:hAnsi="Calibri"/>
                <w:sz w:val="18"/>
              </w:rPr>
              <w:t>Chapter 2</w:t>
            </w:r>
          </w:p>
        </w:tc>
        <w:tc>
          <w:tcPr>
            <w:tcW w:type="dxa" w:w="5760"/>
            <w:shd w:val="clear" w:color="auto" w:fill="F7F9FC"/>
            <w:tcMar>
              <w:top w:w="80" w:type="dxa"/>
              <w:bottom w:w="80" w:type="dxa"/>
              <w:left w:w="120" w:type="dxa"/>
              <w:right w:w="120" w:type="dxa"/>
            </w:tcMar>
          </w:tcPr>
          <w:p>
            <w:pPr>
              <w:spacing w:before="40" w:after="40"/>
            </w:pPr>
            <w:r>
              <w:rPr>
                <w:rFonts w:ascii="Calibri" w:hAnsi="Calibri"/>
                <w:sz w:val="18"/>
              </w:rPr>
              <w:t>Literature Review, Base Paper &amp; Gap Justification</w:t>
            </w:r>
          </w:p>
        </w:tc>
        <w:tc>
          <w:tcPr>
            <w:tcW w:type="dxa" w:w="1440"/>
            <w:shd w:val="clear" w:color="auto" w:fill="F7F9FC"/>
            <w:tcMar>
              <w:top w:w="80" w:type="dxa"/>
              <w:bottom w:w="80" w:type="dxa"/>
              <w:left w:w="120" w:type="dxa"/>
              <w:right w:w="120" w:type="dxa"/>
            </w:tcMar>
          </w:tcPr>
          <w:p>
            <w:pPr>
              <w:spacing w:before="40" w:after="40"/>
            </w:pPr>
            <w:r>
              <w:rPr>
                <w:rFonts w:ascii="Calibri" w:hAnsi="Calibri"/>
                <w:sz w:val="18"/>
              </w:rPr>
              <w:t>7 – 13</w:t>
            </w:r>
          </w:p>
        </w:tc>
      </w:tr>
      <w:tr>
        <w:tc>
          <w:tcPr>
            <w:tcW w:type="dxa" w:w="2160"/>
            <w:shd w:val="clear" w:color="auto" w:fill="FFFFFF"/>
            <w:tcMar>
              <w:top w:w="80" w:type="dxa"/>
              <w:bottom w:w="80" w:type="dxa"/>
              <w:left w:w="120" w:type="dxa"/>
              <w:right w:w="120" w:type="dxa"/>
            </w:tcMar>
          </w:tcPr>
          <w:p>
            <w:pPr>
              <w:spacing w:before="40" w:after="40"/>
            </w:pPr>
            <w:r>
              <w:rPr>
                <w:rFonts w:ascii="Calibri" w:hAnsi="Calibri"/>
                <w:sz w:val="18"/>
              </w:rPr>
              <w:t>Chapter 3</w:t>
            </w:r>
          </w:p>
        </w:tc>
        <w:tc>
          <w:tcPr>
            <w:tcW w:type="dxa" w:w="5760"/>
            <w:shd w:val="clear" w:color="auto" w:fill="FFFFFF"/>
            <w:tcMar>
              <w:top w:w="80" w:type="dxa"/>
              <w:bottom w:w="80" w:type="dxa"/>
              <w:left w:w="120" w:type="dxa"/>
              <w:right w:w="120" w:type="dxa"/>
            </w:tcMar>
          </w:tcPr>
          <w:p>
            <w:pPr>
              <w:spacing w:before="40" w:after="40"/>
            </w:pPr>
            <w:r>
              <w:rPr>
                <w:rFonts w:ascii="Calibri" w:hAnsi="Calibri"/>
                <w:sz w:val="18"/>
              </w:rPr>
              <w:t>System Requirements &amp; Environmental Specifications</w:t>
            </w:r>
          </w:p>
        </w:tc>
        <w:tc>
          <w:tcPr>
            <w:tcW w:type="dxa" w:w="1440"/>
            <w:shd w:val="clear" w:color="auto" w:fill="FFFFFF"/>
            <w:tcMar>
              <w:top w:w="80" w:type="dxa"/>
              <w:bottom w:w="80" w:type="dxa"/>
              <w:left w:w="120" w:type="dxa"/>
              <w:right w:w="120" w:type="dxa"/>
            </w:tcMar>
          </w:tcPr>
          <w:p>
            <w:pPr>
              <w:spacing w:before="40" w:after="40"/>
            </w:pPr>
            <w:r>
              <w:rPr>
                <w:rFonts w:ascii="Calibri" w:hAnsi="Calibri"/>
                <w:sz w:val="18"/>
              </w:rPr>
              <w:t>14 – 17</w:t>
            </w:r>
          </w:p>
        </w:tc>
      </w:tr>
      <w:tr>
        <w:tc>
          <w:tcPr>
            <w:tcW w:type="dxa" w:w="2160"/>
            <w:shd w:val="clear" w:color="auto" w:fill="F7F9FC"/>
            <w:tcMar>
              <w:top w:w="80" w:type="dxa"/>
              <w:bottom w:w="80" w:type="dxa"/>
              <w:left w:w="120" w:type="dxa"/>
              <w:right w:w="120" w:type="dxa"/>
            </w:tcMar>
          </w:tcPr>
          <w:p>
            <w:pPr>
              <w:spacing w:before="40" w:after="40"/>
            </w:pPr>
            <w:r>
              <w:rPr>
                <w:rFonts w:ascii="Calibri" w:hAnsi="Calibri"/>
                <w:sz w:val="18"/>
              </w:rPr>
              <w:t>Chapter 4</w:t>
            </w:r>
          </w:p>
        </w:tc>
        <w:tc>
          <w:tcPr>
            <w:tcW w:type="dxa" w:w="5760"/>
            <w:shd w:val="clear" w:color="auto" w:fill="F7F9FC"/>
            <w:tcMar>
              <w:top w:w="80" w:type="dxa"/>
              <w:bottom w:w="80" w:type="dxa"/>
              <w:left w:w="120" w:type="dxa"/>
              <w:right w:w="120" w:type="dxa"/>
            </w:tcMar>
          </w:tcPr>
          <w:p>
            <w:pPr>
              <w:spacing w:before="40" w:after="40"/>
            </w:pPr>
            <w:r>
              <w:rPr>
                <w:rFonts w:ascii="Calibri" w:hAnsi="Calibri"/>
                <w:sz w:val="18"/>
              </w:rPr>
              <w:t>System Architecture &amp; 7-Stage Pipeline Methodology</w:t>
            </w:r>
          </w:p>
        </w:tc>
        <w:tc>
          <w:tcPr>
            <w:tcW w:type="dxa" w:w="1440"/>
            <w:shd w:val="clear" w:color="auto" w:fill="F7F9FC"/>
            <w:tcMar>
              <w:top w:w="80" w:type="dxa"/>
              <w:bottom w:w="80" w:type="dxa"/>
              <w:left w:w="120" w:type="dxa"/>
              <w:right w:w="120" w:type="dxa"/>
            </w:tcMar>
          </w:tcPr>
          <w:p>
            <w:pPr>
              <w:spacing w:before="40" w:after="40"/>
            </w:pPr>
            <w:r>
              <w:rPr>
                <w:rFonts w:ascii="Calibri" w:hAnsi="Calibri"/>
                <w:sz w:val="18"/>
              </w:rPr>
              <w:t>18 – 28</w:t>
            </w:r>
          </w:p>
        </w:tc>
      </w:tr>
      <w:tr>
        <w:tc>
          <w:tcPr>
            <w:tcW w:type="dxa" w:w="2160"/>
            <w:shd w:val="clear" w:color="auto" w:fill="FFFFFF"/>
            <w:tcMar>
              <w:top w:w="80" w:type="dxa"/>
              <w:bottom w:w="80" w:type="dxa"/>
              <w:left w:w="120" w:type="dxa"/>
              <w:right w:w="120" w:type="dxa"/>
            </w:tcMar>
          </w:tcPr>
          <w:p>
            <w:pPr>
              <w:spacing w:before="40" w:after="40"/>
            </w:pPr>
            <w:r>
              <w:rPr>
                <w:rFonts w:ascii="Calibri" w:hAnsi="Calibri"/>
                <w:sz w:val="18"/>
              </w:rPr>
              <w:t>Chapter 5</w:t>
            </w:r>
          </w:p>
        </w:tc>
        <w:tc>
          <w:tcPr>
            <w:tcW w:type="dxa" w:w="5760"/>
            <w:shd w:val="clear" w:color="auto" w:fill="FFFFFF"/>
            <w:tcMar>
              <w:top w:w="80" w:type="dxa"/>
              <w:bottom w:w="80" w:type="dxa"/>
              <w:left w:w="120" w:type="dxa"/>
              <w:right w:w="120" w:type="dxa"/>
            </w:tcMar>
          </w:tcPr>
          <w:p>
            <w:pPr>
              <w:spacing w:before="40" w:after="40"/>
            </w:pPr>
            <w:r>
              <w:rPr>
                <w:rFonts w:ascii="Calibri" w:hAnsi="Calibri"/>
                <w:sz w:val="18"/>
              </w:rPr>
              <w:t>Dataset Engineering, Corpus Structuring &amp; Ingestion Pipeline</w:t>
            </w:r>
          </w:p>
        </w:tc>
        <w:tc>
          <w:tcPr>
            <w:tcW w:type="dxa" w:w="1440"/>
            <w:shd w:val="clear" w:color="auto" w:fill="FFFFFF"/>
            <w:tcMar>
              <w:top w:w="80" w:type="dxa"/>
              <w:bottom w:w="80" w:type="dxa"/>
              <w:left w:w="120" w:type="dxa"/>
              <w:right w:w="120" w:type="dxa"/>
            </w:tcMar>
          </w:tcPr>
          <w:p>
            <w:pPr>
              <w:spacing w:before="40" w:after="40"/>
            </w:pPr>
            <w:r>
              <w:rPr>
                <w:rFonts w:ascii="Calibri" w:hAnsi="Calibri"/>
                <w:sz w:val="18"/>
              </w:rPr>
              <w:t>29 – 37</w:t>
            </w:r>
          </w:p>
        </w:tc>
      </w:tr>
      <w:tr>
        <w:tc>
          <w:tcPr>
            <w:tcW w:type="dxa" w:w="2160"/>
            <w:shd w:val="clear" w:color="auto" w:fill="F7F9FC"/>
            <w:tcMar>
              <w:top w:w="80" w:type="dxa"/>
              <w:bottom w:w="80" w:type="dxa"/>
              <w:left w:w="120" w:type="dxa"/>
              <w:right w:w="120" w:type="dxa"/>
            </w:tcMar>
          </w:tcPr>
          <w:p>
            <w:pPr>
              <w:spacing w:before="40" w:after="40"/>
            </w:pPr>
            <w:r>
              <w:rPr>
                <w:rFonts w:ascii="Calibri" w:hAnsi="Calibri"/>
                <w:sz w:val="18"/>
              </w:rPr>
              <w:t>Chapter 6</w:t>
            </w:r>
          </w:p>
        </w:tc>
        <w:tc>
          <w:tcPr>
            <w:tcW w:type="dxa" w:w="5760"/>
            <w:shd w:val="clear" w:color="auto" w:fill="F7F9FC"/>
            <w:tcMar>
              <w:top w:w="80" w:type="dxa"/>
              <w:bottom w:w="80" w:type="dxa"/>
              <w:left w:w="120" w:type="dxa"/>
              <w:right w:w="120" w:type="dxa"/>
            </w:tcMar>
          </w:tcPr>
          <w:p>
            <w:pPr>
              <w:spacing w:before="40" w:after="40"/>
            </w:pPr>
            <w:r>
              <w:rPr>
                <w:rFonts w:ascii="Calibri" w:hAnsi="Calibri"/>
                <w:sz w:val="18"/>
              </w:rPr>
              <w:t>Implementation Details &amp; Core Codebase Realization</w:t>
            </w:r>
          </w:p>
        </w:tc>
        <w:tc>
          <w:tcPr>
            <w:tcW w:type="dxa" w:w="1440"/>
            <w:shd w:val="clear" w:color="auto" w:fill="F7F9FC"/>
            <w:tcMar>
              <w:top w:w="80" w:type="dxa"/>
              <w:bottom w:w="80" w:type="dxa"/>
              <w:left w:w="120" w:type="dxa"/>
              <w:right w:w="120" w:type="dxa"/>
            </w:tcMar>
          </w:tcPr>
          <w:p>
            <w:pPr>
              <w:spacing w:before="40" w:after="40"/>
            </w:pPr>
            <w:r>
              <w:rPr>
                <w:rFonts w:ascii="Calibri" w:hAnsi="Calibri"/>
                <w:sz w:val="18"/>
              </w:rPr>
              <w:t>38 – 50</w:t>
            </w:r>
          </w:p>
        </w:tc>
      </w:tr>
      <w:tr>
        <w:tc>
          <w:tcPr>
            <w:tcW w:type="dxa" w:w="2160"/>
            <w:shd w:val="clear" w:color="auto" w:fill="FFFFFF"/>
            <w:tcMar>
              <w:top w:w="80" w:type="dxa"/>
              <w:bottom w:w="80" w:type="dxa"/>
              <w:left w:w="120" w:type="dxa"/>
              <w:right w:w="120" w:type="dxa"/>
            </w:tcMar>
          </w:tcPr>
          <w:p>
            <w:pPr>
              <w:spacing w:before="40" w:after="40"/>
            </w:pPr>
            <w:r>
              <w:rPr>
                <w:rFonts w:ascii="Calibri" w:hAnsi="Calibri"/>
                <w:sz w:val="18"/>
              </w:rPr>
              <w:t>Chapter 7</w:t>
            </w:r>
          </w:p>
        </w:tc>
        <w:tc>
          <w:tcPr>
            <w:tcW w:type="dxa" w:w="5760"/>
            <w:shd w:val="clear" w:color="auto" w:fill="FFFFFF"/>
            <w:tcMar>
              <w:top w:w="80" w:type="dxa"/>
              <w:bottom w:w="80" w:type="dxa"/>
              <w:left w:w="120" w:type="dxa"/>
              <w:right w:w="120" w:type="dxa"/>
            </w:tcMar>
          </w:tcPr>
          <w:p>
            <w:pPr>
              <w:spacing w:before="40" w:after="40"/>
            </w:pPr>
            <w:r>
              <w:rPr>
                <w:rFonts w:ascii="Calibri" w:hAnsi="Calibri"/>
                <w:sz w:val="18"/>
              </w:rPr>
              <w:t>User Interface, Research Workspace &amp; Visual Verification</w:t>
            </w:r>
          </w:p>
        </w:tc>
        <w:tc>
          <w:tcPr>
            <w:tcW w:type="dxa" w:w="1440"/>
            <w:shd w:val="clear" w:color="auto" w:fill="FFFFFF"/>
            <w:tcMar>
              <w:top w:w="80" w:type="dxa"/>
              <w:bottom w:w="80" w:type="dxa"/>
              <w:left w:w="120" w:type="dxa"/>
              <w:right w:w="120" w:type="dxa"/>
            </w:tcMar>
          </w:tcPr>
          <w:p>
            <w:pPr>
              <w:spacing w:before="40" w:after="40"/>
            </w:pPr>
            <w:r>
              <w:rPr>
                <w:rFonts w:ascii="Calibri" w:hAnsi="Calibri"/>
                <w:sz w:val="18"/>
              </w:rPr>
              <w:t>51 – 58</w:t>
            </w:r>
          </w:p>
        </w:tc>
      </w:tr>
      <w:tr>
        <w:tc>
          <w:tcPr>
            <w:tcW w:type="dxa" w:w="2160"/>
            <w:shd w:val="clear" w:color="auto" w:fill="F7F9FC"/>
            <w:tcMar>
              <w:top w:w="80" w:type="dxa"/>
              <w:bottom w:w="80" w:type="dxa"/>
              <w:left w:w="120" w:type="dxa"/>
              <w:right w:w="120" w:type="dxa"/>
            </w:tcMar>
          </w:tcPr>
          <w:p>
            <w:pPr>
              <w:spacing w:before="40" w:after="40"/>
            </w:pPr>
            <w:r>
              <w:rPr>
                <w:rFonts w:ascii="Calibri" w:hAnsi="Calibri"/>
                <w:sz w:val="18"/>
              </w:rPr>
              <w:t>Chapter 8</w:t>
            </w:r>
          </w:p>
        </w:tc>
        <w:tc>
          <w:tcPr>
            <w:tcW w:type="dxa" w:w="5760"/>
            <w:shd w:val="clear" w:color="auto" w:fill="F7F9FC"/>
            <w:tcMar>
              <w:top w:w="80" w:type="dxa"/>
              <w:bottom w:w="80" w:type="dxa"/>
              <w:left w:w="120" w:type="dxa"/>
              <w:right w:w="120" w:type="dxa"/>
            </w:tcMar>
          </w:tcPr>
          <w:p>
            <w:pPr>
              <w:spacing w:before="40" w:after="40"/>
            </w:pPr>
            <w:r>
              <w:rPr>
                <w:rFonts w:ascii="Calibri" w:hAnsi="Calibri"/>
                <w:sz w:val="18"/>
              </w:rPr>
              <w:t>Experimental Setup, Empirical Benchmarking &amp; Audit Results</w:t>
            </w:r>
          </w:p>
        </w:tc>
        <w:tc>
          <w:tcPr>
            <w:tcW w:type="dxa" w:w="1440"/>
            <w:shd w:val="clear" w:color="auto" w:fill="F7F9FC"/>
            <w:tcMar>
              <w:top w:w="80" w:type="dxa"/>
              <w:bottom w:w="80" w:type="dxa"/>
              <w:left w:w="120" w:type="dxa"/>
              <w:right w:w="120" w:type="dxa"/>
            </w:tcMar>
          </w:tcPr>
          <w:p>
            <w:pPr>
              <w:spacing w:before="40" w:after="40"/>
            </w:pPr>
            <w:r>
              <w:rPr>
                <w:rFonts w:ascii="Calibri" w:hAnsi="Calibri"/>
                <w:sz w:val="18"/>
              </w:rPr>
              <w:t>59 – 68</w:t>
            </w:r>
          </w:p>
        </w:tc>
      </w:tr>
      <w:tr>
        <w:tc>
          <w:tcPr>
            <w:tcW w:type="dxa" w:w="2160"/>
            <w:shd w:val="clear" w:color="auto" w:fill="FFFFFF"/>
            <w:tcMar>
              <w:top w:w="80" w:type="dxa"/>
              <w:bottom w:w="80" w:type="dxa"/>
              <w:left w:w="120" w:type="dxa"/>
              <w:right w:w="120" w:type="dxa"/>
            </w:tcMar>
          </w:tcPr>
          <w:p>
            <w:pPr>
              <w:spacing w:before="40" w:after="40"/>
            </w:pPr>
            <w:r>
              <w:rPr>
                <w:rFonts w:ascii="Calibri" w:hAnsi="Calibri"/>
                <w:sz w:val="18"/>
              </w:rPr>
              <w:t>Chapter 9</w:t>
            </w:r>
          </w:p>
        </w:tc>
        <w:tc>
          <w:tcPr>
            <w:tcW w:type="dxa" w:w="5760"/>
            <w:shd w:val="clear" w:color="auto" w:fill="FFFFFF"/>
            <w:tcMar>
              <w:top w:w="80" w:type="dxa"/>
              <w:bottom w:w="80" w:type="dxa"/>
              <w:left w:w="120" w:type="dxa"/>
              <w:right w:w="120" w:type="dxa"/>
            </w:tcMar>
          </w:tcPr>
          <w:p>
            <w:pPr>
              <w:spacing w:before="40" w:after="40"/>
            </w:pPr>
            <w:r>
              <w:rPr>
                <w:rFonts w:ascii="Calibri" w:hAnsi="Calibri"/>
                <w:sz w:val="18"/>
              </w:rPr>
              <w:t>Conclusion, Limitations &amp; Future Enhancements</w:t>
            </w:r>
          </w:p>
        </w:tc>
        <w:tc>
          <w:tcPr>
            <w:tcW w:type="dxa" w:w="1440"/>
            <w:shd w:val="clear" w:color="auto" w:fill="FFFFFF"/>
            <w:tcMar>
              <w:top w:w="80" w:type="dxa"/>
              <w:bottom w:w="80" w:type="dxa"/>
              <w:left w:w="120" w:type="dxa"/>
              <w:right w:w="120" w:type="dxa"/>
            </w:tcMar>
          </w:tcPr>
          <w:p>
            <w:pPr>
              <w:spacing w:before="40" w:after="40"/>
            </w:pPr>
            <w:r>
              <w:rPr>
                <w:rFonts w:ascii="Calibri" w:hAnsi="Calibri"/>
                <w:sz w:val="18"/>
              </w:rPr>
              <w:t>69 – 72</w:t>
            </w:r>
          </w:p>
        </w:tc>
      </w:tr>
      <w:tr>
        <w:tc>
          <w:tcPr>
            <w:tcW w:type="dxa" w:w="2160"/>
            <w:shd w:val="clear" w:color="auto" w:fill="F7F9FC"/>
            <w:tcMar>
              <w:top w:w="80" w:type="dxa"/>
              <w:bottom w:w="80" w:type="dxa"/>
              <w:left w:w="120" w:type="dxa"/>
              <w:right w:w="120" w:type="dxa"/>
            </w:tcMar>
          </w:tcPr>
          <w:p>
            <w:pPr>
              <w:spacing w:before="40" w:after="40"/>
            </w:pPr>
            <w:r>
              <w:rPr>
                <w:rFonts w:ascii="Calibri" w:hAnsi="Calibri"/>
                <w:sz w:val="18"/>
              </w:rPr>
              <w:t>References</w:t>
            </w:r>
          </w:p>
        </w:tc>
        <w:tc>
          <w:tcPr>
            <w:tcW w:type="dxa" w:w="5760"/>
            <w:shd w:val="clear" w:color="auto" w:fill="F7F9FC"/>
            <w:tcMar>
              <w:top w:w="80" w:type="dxa"/>
              <w:bottom w:w="80" w:type="dxa"/>
              <w:left w:w="120" w:type="dxa"/>
              <w:right w:w="120" w:type="dxa"/>
            </w:tcMar>
          </w:tcPr>
          <w:p>
            <w:pPr>
              <w:spacing w:before="40" w:after="40"/>
            </w:pPr>
            <w:r>
              <w:rPr>
                <w:rFonts w:ascii="Calibri" w:hAnsi="Calibri"/>
                <w:sz w:val="18"/>
              </w:rPr>
              <w:t>Formal IEEE Bibliography &amp; Legal Authorities</w:t>
            </w:r>
          </w:p>
        </w:tc>
        <w:tc>
          <w:tcPr>
            <w:tcW w:type="dxa" w:w="1440"/>
            <w:shd w:val="clear" w:color="auto" w:fill="F7F9FC"/>
            <w:tcMar>
              <w:top w:w="80" w:type="dxa"/>
              <w:bottom w:w="80" w:type="dxa"/>
              <w:left w:w="120" w:type="dxa"/>
              <w:right w:w="120" w:type="dxa"/>
            </w:tcMar>
          </w:tcPr>
          <w:p>
            <w:pPr>
              <w:spacing w:before="40" w:after="40"/>
            </w:pPr>
            <w:r>
              <w:rPr>
                <w:rFonts w:ascii="Calibri" w:hAnsi="Calibri"/>
                <w:sz w:val="18"/>
              </w:rPr>
              <w:t>73 – 76</w:t>
            </w:r>
          </w:p>
        </w:tc>
      </w:tr>
    </w:tbl>
    <w:p>
      <w:pPr>
        <w:spacing w:before="0" w:after="120"/>
      </w:pPr>
    </w:p>
    <w:p>
      <w:pPr>
        <w:pStyle w:val="Heading1"/>
        <w:spacing w:before="280" w:after="120"/>
      </w:pPr>
      <w:r>
        <w:t>CHAPTER 1: INTRODUCTION &amp; PROBLEM FORMULATION</w:t>
      </w:r>
    </w:p>
    <w:p>
      <w:pPr>
        <w:pStyle w:val="Heading2"/>
        <w:spacing w:before="200" w:after="80"/>
      </w:pPr>
      <w:r>
        <w:t>1.1 Background and Motivation</w:t>
      </w:r>
    </w:p>
    <w:p>
      <w:pPr>
        <w:spacing w:before="0" w:after="100" w:line="276" w:lineRule="auto"/>
      </w:pPr>
      <w:r>
        <w:t>The application of Artificial Intelligence and Natural Language Processing to the legal domain holds tremendous potential to democratize access to justice, accelerate judicial research for advocates, and streamline statutory analysis. However, legal question answering imposes unique, non-negotiable constraints that differentiate it from conversational domains: 1. Extreme Precision on Citations: Conflating Section 438 of the Code of Criminal Procedure (Anticipatory Bail) with Section 439 (Special Powers of High Court regarding Bail) fundamentally misleads legal strategy. 2. Strict Grounding to Authoritative Law: Legal advice must be grounded in primary statutory sources (Central/State Acts, Constitutional Articles, Official Notifications) and binding judicial precedents from the Supreme Court and High Courts. 3. The Peril of Hallucinations: General-purpose LLMs generate fluent but fabricated case citations and non-existent statutory clauses, which can lead to disastrous judicial sanctions if cited in court filings.</w:t>
      </w:r>
    </w:p>
    <w:p>
      <w:pPr>
        <w:pStyle w:val="Heading2"/>
        <w:spacing w:before="200" w:after="80"/>
      </w:pPr>
      <w:r>
        <w:t>1.2 The Failure Modes of Naive RAG in Legal Jurisprudence</w:t>
      </w:r>
    </w:p>
    <w:p>
      <w:pPr>
        <w:spacing w:before="0" w:after="100" w:line="276" w:lineRule="auto"/>
      </w:pPr>
      <w:r>
        <w:t>Traditional Retrieval-Augmented Generation (RAG) follows a static 'retrieve-then-generate' paradigm. In legal analysis, naive RAG fails across five critical dimensions: Semantic Drift on Numbered Sections (dense embedding models map 'Section 302 IPC' Murder close to 'Section 304 IPC' Culpable Homicide), Vocabulary Mismatch (citizens use colloquial phrasing while acts use formal terminology), Absence of Fresh Legal Notices (static vector stores miss newly gazetted amendments), Blind Generation on Null Context (forcing LLMs to hallucinate answers on weak chunks), and Post-Generation Computational Waste.</w:t>
      </w:r>
    </w:p>
    <w:p>
      <w:pPr>
        <w:pStyle w:val="Heading2"/>
        <w:spacing w:before="200" w:after="80"/>
      </w:pPr>
      <w:r>
        <w:t>1.3 Problem Statement &amp; Research Questions</w:t>
      </w:r>
    </w:p>
    <w:p>
      <w:pPr>
        <w:spacing w:before="0" w:after="100" w:line="276" w:lineRule="auto"/>
      </w:pPr>
      <w:r>
        <w:t>The central objective of this research is formulated as follows: 'To architect, implement, and benchmark an intelligent legal research workspace that pre-emptively evaluates query ambiguity, dynamically routes retrieval across sparse, dense, and hybrid modalities, reranks hybrid evidence on a unified neural footing, and enforces a strict Pre-Generation Evidence Sufficiency Gate that halts ungrounded generation and issues an explicit Insufficient Evidence Declaration.' Research questions address whether pre-generation gating eliminates hallucinations within sub-2-second latency and how tri-modal routing elevates retrieval recall over static dense models.</w:t>
      </w:r>
    </w:p>
    <w:p>
      <w:pPr>
        <w:pStyle w:val="Heading2"/>
        <w:spacing w:before="200" w:after="80"/>
      </w:pPr>
      <w:r>
        <w:t>1.4 Scope and Organization of the Report</w:t>
      </w:r>
    </w:p>
    <w:p>
      <w:pPr>
        <w:spacing w:before="0" w:after="100" w:line="276" w:lineRule="auto"/>
      </w:pPr>
      <w:r>
        <w:t>The project encompasses Indian constitutional law, central criminal and procedural codes, cyber legislation (Information Technology Act 2000 and 2021 Rules), and live Supreme Court jurisprudence extracted from Indian Kanoon. The report details the full engineering trajectory across design, implementation, and empirical verification.</w:t>
      </w:r>
    </w:p>
    <w:p>
      <w:pPr>
        <w:pStyle w:val="Heading1"/>
        <w:spacing w:before="280" w:after="120"/>
      </w:pPr>
      <w:r>
        <w:t>CHAPTER 2: LITERATURE REVIEW &amp; BASE PAPER ANALYSIS</w:t>
      </w:r>
    </w:p>
    <w:p>
      <w:pPr>
        <w:pStyle w:val="Heading2"/>
        <w:spacing w:before="200" w:after="80"/>
      </w:pPr>
      <w:r>
        <w:t>2.1 Evolution of Retrieval Architectures</w:t>
      </w:r>
    </w:p>
    <w:p>
      <w:pPr>
        <w:spacing w:before="0" w:after="100" w:line="276" w:lineRule="auto"/>
      </w:pPr>
      <w:r>
        <w:t>Modern RAG systems have progressed through three distinct architectural generations: Naive RAG (2020–2022), Modular RAG (2023–2024), and Agentic RAG (2024–present). In the legal domain, early systems relied exclusively on BM25 or basic vector search. Modern agentic RAG introduces multi-turn reflection, tool routing, and self-correction.</w:t>
      </w:r>
    </w:p>
    <w:p>
      <w:pPr>
        <w:pStyle w:val="Heading2"/>
        <w:spacing w:before="200" w:after="80"/>
      </w:pPr>
      <w:r>
        <w:t>2.2 Deep Dive: Base Paper Analysis (Woo et al., 2025)</w:t>
      </w:r>
    </w:p>
    <w:p>
      <w:pPr>
        <w:spacing w:before="0" w:after="100" w:line="276" w:lineRule="auto"/>
      </w:pPr>
      <w:r>
        <w:t>The architectural point of departure for NyayaRoute is the base paper by Woo et al. (2025), entitled 'Custom Large Language Models Improve Accuracy: Comparing RAG and AI Agents to Noncustom Models for Evidence-Based Medicine' (Arthroscopy, 2025). Woo et al. implemented an Agentic RAG pipeline where a vector retriever fetches chunks, an LLM synthesizes an initial answer, and a secondary Quality Judge LLM grades the output. If judged unsatisfactory, the query is repeated. Critical Limitation Identified: Woo et al. enforce quality checks POST-GENERATION. In legal consultation, generating on top of insufficient evidence causes the model to commit to hallucinations early. Furthermore, Woo et al. use uniform vector retrieval, which collapses on exact statutory numbering.</w:t>
      </w:r>
    </w:p>
    <w:p>
      <w:pPr>
        <w:pStyle w:val="Heading2"/>
        <w:spacing w:before="200" w:after="80"/>
      </w:pPr>
      <w:r>
        <w:t>2.3 Comprehensive Gap Analysis Matrix</w:t>
      </w:r>
    </w:p>
    <w:tbl>
      <w:tblPr>
        <w:tblW w:type="auto" w:w="0"/>
        <w:jc w:val="center"/>
        <w:tblLayout w:type="fixed"/>
        <w:tblLook w:firstColumn="1" w:firstRow="1" w:lastColumn="0" w:lastRow="0" w:noHBand="0" w:noVBand="1" w:val="04A0"/>
      </w:tblPr>
      <w:tblGrid>
        <w:gridCol w:w="3120"/>
        <w:gridCol w:w="3120"/>
        <w:gridCol w:w="3120"/>
      </w:tblGrid>
      <w:tr>
        <w:tc>
          <w:tcPr>
            <w:tcW w:type="dxa" w:w="2880"/>
            <w:shd w:val="clear" w:color="auto" w:fill="0A192F"/>
            <w:tcMar>
              <w:top w:w="100" w:type="dxa"/>
              <w:bottom w:w="100" w:type="dxa"/>
              <w:left w:w="120" w:type="dxa"/>
              <w:right w:w="120" w:type="dxa"/>
            </w:tcMar>
          </w:tcPr>
          <w:p>
            <w:pPr>
              <w:spacing w:before="40" w:after="40"/>
            </w:pPr>
            <w:r>
              <w:rPr>
                <w:rFonts w:ascii="Calibri" w:hAnsi="Calibri"/>
                <w:b/>
                <w:color w:val="FFFFFF"/>
                <w:sz w:val="19"/>
              </w:rPr>
              <w:t>Observed Research Gap</w:t>
            </w:r>
          </w:p>
        </w:tc>
        <w:tc>
          <w:tcPr>
            <w:tcW w:type="dxa" w:w="3168"/>
            <w:shd w:val="clear" w:color="auto" w:fill="0A192F"/>
            <w:tcMar>
              <w:top w:w="100" w:type="dxa"/>
              <w:bottom w:w="100" w:type="dxa"/>
              <w:left w:w="120" w:type="dxa"/>
              <w:right w:w="120" w:type="dxa"/>
            </w:tcMar>
          </w:tcPr>
          <w:p>
            <w:pPr>
              <w:spacing w:before="40" w:after="40"/>
            </w:pPr>
            <w:r>
              <w:rPr>
                <w:rFonts w:ascii="Calibri" w:hAnsi="Calibri"/>
                <w:b/>
                <w:color w:val="FFFFFF"/>
                <w:sz w:val="19"/>
              </w:rPr>
              <w:t>Impact on Legal QA</w:t>
            </w:r>
          </w:p>
        </w:tc>
        <w:tc>
          <w:tcPr>
            <w:tcW w:type="dxa" w:w="3312"/>
            <w:shd w:val="clear" w:color="auto" w:fill="0A192F"/>
            <w:tcMar>
              <w:top w:w="100" w:type="dxa"/>
              <w:bottom w:w="100" w:type="dxa"/>
              <w:left w:w="120" w:type="dxa"/>
              <w:right w:w="120" w:type="dxa"/>
            </w:tcMar>
          </w:tcPr>
          <w:p>
            <w:pPr>
              <w:spacing w:before="40" w:after="40"/>
            </w:pPr>
            <w:r>
              <w:rPr>
                <w:rFonts w:ascii="Calibri" w:hAnsi="Calibri"/>
                <w:b/>
                <w:color w:val="FFFFFF"/>
                <w:sz w:val="19"/>
              </w:rPr>
              <w:t>NyayaRoute Proposed Innovation</w:t>
            </w:r>
          </w:p>
        </w:tc>
      </w:tr>
      <w:tr>
        <w:tc>
          <w:tcPr>
            <w:tcW w:type="dxa" w:w="2880"/>
            <w:shd w:val="clear" w:color="auto" w:fill="FFFFFF"/>
            <w:tcMar>
              <w:top w:w="80" w:type="dxa"/>
              <w:bottom w:w="80" w:type="dxa"/>
              <w:left w:w="120" w:type="dxa"/>
              <w:right w:w="120" w:type="dxa"/>
            </w:tcMar>
          </w:tcPr>
          <w:p>
            <w:pPr>
              <w:spacing w:before="40" w:after="40"/>
            </w:pPr>
            <w:r>
              <w:rPr>
                <w:rFonts w:ascii="Calibri" w:hAnsi="Calibri"/>
                <w:sz w:val="18"/>
              </w:rPr>
              <w:t>Post-Generation Quality Checking (Woo et al., 2025)</w:t>
            </w:r>
          </w:p>
        </w:tc>
        <w:tc>
          <w:tcPr>
            <w:tcW w:type="dxa" w:w="3168"/>
            <w:shd w:val="clear" w:color="auto" w:fill="FFFFFF"/>
            <w:tcMar>
              <w:top w:w="80" w:type="dxa"/>
              <w:bottom w:w="80" w:type="dxa"/>
              <w:left w:w="120" w:type="dxa"/>
              <w:right w:w="120" w:type="dxa"/>
            </w:tcMar>
          </w:tcPr>
          <w:p>
            <w:pPr>
              <w:spacing w:before="40" w:after="40"/>
            </w:pPr>
            <w:r>
              <w:rPr>
                <w:rFonts w:ascii="Calibri" w:hAnsi="Calibri"/>
                <w:sz w:val="18"/>
              </w:rPr>
              <w:t>High latency; model synthesizes ungrounded text before verifying context.</w:t>
            </w:r>
          </w:p>
        </w:tc>
        <w:tc>
          <w:tcPr>
            <w:tcW w:type="dxa" w:w="3312"/>
            <w:shd w:val="clear" w:color="auto" w:fill="FFFFFF"/>
            <w:tcMar>
              <w:top w:w="80" w:type="dxa"/>
              <w:bottom w:w="80" w:type="dxa"/>
              <w:left w:w="120" w:type="dxa"/>
              <w:right w:w="120" w:type="dxa"/>
            </w:tcMar>
          </w:tcPr>
          <w:p>
            <w:pPr>
              <w:spacing w:before="40" w:after="40"/>
            </w:pPr>
            <w:r>
              <w:rPr>
                <w:rFonts w:ascii="Calibri" w:hAnsi="Calibri"/>
                <w:sz w:val="18"/>
              </w:rPr>
              <w:t>Pre-Generation Evidence Gate verifies cross-encoder scores before synthesis.</w:t>
            </w:r>
          </w:p>
        </w:tc>
      </w:tr>
      <w:tr>
        <w:tc>
          <w:tcPr>
            <w:tcW w:type="dxa" w:w="2880"/>
            <w:shd w:val="clear" w:color="auto" w:fill="F7F9FC"/>
            <w:tcMar>
              <w:top w:w="80" w:type="dxa"/>
              <w:bottom w:w="80" w:type="dxa"/>
              <w:left w:w="120" w:type="dxa"/>
              <w:right w:w="120" w:type="dxa"/>
            </w:tcMar>
          </w:tcPr>
          <w:p>
            <w:pPr>
              <w:spacing w:before="40" w:after="40"/>
            </w:pPr>
            <w:r>
              <w:rPr>
                <w:rFonts w:ascii="Calibri" w:hAnsi="Calibri"/>
                <w:sz w:val="18"/>
              </w:rPr>
              <w:t>Uniform Dense Vector Retrieval</w:t>
            </w:r>
          </w:p>
        </w:tc>
        <w:tc>
          <w:tcPr>
            <w:tcW w:type="dxa" w:w="3168"/>
            <w:shd w:val="clear" w:color="auto" w:fill="F7F9FC"/>
            <w:tcMar>
              <w:top w:w="80" w:type="dxa"/>
              <w:bottom w:w="80" w:type="dxa"/>
              <w:left w:w="120" w:type="dxa"/>
              <w:right w:w="120" w:type="dxa"/>
            </w:tcMar>
          </w:tcPr>
          <w:p>
            <w:pPr>
              <w:spacing w:before="40" w:after="40"/>
            </w:pPr>
            <w:r>
              <w:rPr>
                <w:rFonts w:ascii="Calibri" w:hAnsi="Calibri"/>
                <w:sz w:val="18"/>
              </w:rPr>
              <w:t>Collapses on exact statutory numbers (Section 66A vs 66B IT Act).</w:t>
            </w:r>
          </w:p>
        </w:tc>
        <w:tc>
          <w:tcPr>
            <w:tcW w:type="dxa" w:w="3312"/>
            <w:shd w:val="clear" w:color="auto" w:fill="F7F9FC"/>
            <w:tcMar>
              <w:top w:w="80" w:type="dxa"/>
              <w:bottom w:w="80" w:type="dxa"/>
              <w:left w:w="120" w:type="dxa"/>
              <w:right w:w="120" w:type="dxa"/>
            </w:tcMar>
          </w:tcPr>
          <w:p>
            <w:pPr>
              <w:spacing w:before="40" w:after="40"/>
            </w:pPr>
            <w:r>
              <w:rPr>
                <w:rFonts w:ascii="Calibri" w:hAnsi="Calibri"/>
                <w:sz w:val="18"/>
              </w:rPr>
              <w:t>Tri-Modal Adaptive Router: BM25 for citations, Dense for facts, Hybrid for mixed.</w:t>
            </w:r>
          </w:p>
        </w:tc>
      </w:tr>
      <w:tr>
        <w:tc>
          <w:tcPr>
            <w:tcW w:type="dxa" w:w="2880"/>
            <w:shd w:val="clear" w:color="auto" w:fill="FFFFFF"/>
            <w:tcMar>
              <w:top w:w="80" w:type="dxa"/>
              <w:bottom w:w="80" w:type="dxa"/>
              <w:left w:w="120" w:type="dxa"/>
              <w:right w:w="120" w:type="dxa"/>
            </w:tcMar>
          </w:tcPr>
          <w:p>
            <w:pPr>
              <w:spacing w:before="40" w:after="40"/>
            </w:pPr>
            <w:r>
              <w:rPr>
                <w:rFonts w:ascii="Calibri" w:hAnsi="Calibri"/>
                <w:sz w:val="18"/>
              </w:rPr>
              <w:t>No Query Quality / Reformulation Stage</w:t>
            </w:r>
          </w:p>
        </w:tc>
        <w:tc>
          <w:tcPr>
            <w:tcW w:type="dxa" w:w="3168"/>
            <w:shd w:val="clear" w:color="auto" w:fill="FFFFFF"/>
            <w:tcMar>
              <w:top w:w="80" w:type="dxa"/>
              <w:bottom w:w="80" w:type="dxa"/>
              <w:left w:w="120" w:type="dxa"/>
              <w:right w:w="120" w:type="dxa"/>
            </w:tcMar>
          </w:tcPr>
          <w:p>
            <w:pPr>
              <w:spacing w:before="40" w:after="40"/>
            </w:pPr>
            <w:r>
              <w:rPr>
                <w:rFonts w:ascii="Calibri" w:hAnsi="Calibri"/>
                <w:sz w:val="18"/>
              </w:rPr>
              <w:t>Colloquial and underspecified queries cause retrieval collapse.</w:t>
            </w:r>
          </w:p>
        </w:tc>
        <w:tc>
          <w:tcPr>
            <w:tcW w:type="dxa" w:w="3312"/>
            <w:shd w:val="clear" w:color="auto" w:fill="FFFFFF"/>
            <w:tcMar>
              <w:top w:w="80" w:type="dxa"/>
              <w:bottom w:w="80" w:type="dxa"/>
              <w:left w:w="120" w:type="dxa"/>
              <w:right w:w="120" w:type="dxa"/>
            </w:tcMar>
          </w:tcPr>
          <w:p>
            <w:pPr>
              <w:spacing w:before="40" w:after="40"/>
            </w:pPr>
            <w:r>
              <w:rPr>
                <w:rFonts w:ascii="Calibri" w:hAnsi="Calibri"/>
                <w:sz w:val="18"/>
              </w:rPr>
              <w:t>Stage 2 Autonomous Reformulator translates layman queries and expands acronyms.</w:t>
            </w:r>
          </w:p>
        </w:tc>
      </w:tr>
      <w:tr>
        <w:tc>
          <w:tcPr>
            <w:tcW w:type="dxa" w:w="2880"/>
            <w:shd w:val="clear" w:color="auto" w:fill="F7F9FC"/>
            <w:tcMar>
              <w:top w:w="80" w:type="dxa"/>
              <w:bottom w:w="80" w:type="dxa"/>
              <w:left w:w="120" w:type="dxa"/>
              <w:right w:w="120" w:type="dxa"/>
            </w:tcMar>
          </w:tcPr>
          <w:p>
            <w:pPr>
              <w:spacing w:before="40" w:after="40"/>
            </w:pPr>
            <w:r>
              <w:rPr>
                <w:rFonts w:ascii="Calibri" w:hAnsi="Calibri"/>
                <w:sz w:val="18"/>
              </w:rPr>
              <w:t>Static Knowledge Base Confinement</w:t>
            </w:r>
          </w:p>
        </w:tc>
        <w:tc>
          <w:tcPr>
            <w:tcW w:type="dxa" w:w="3168"/>
            <w:shd w:val="clear" w:color="auto" w:fill="F7F9FC"/>
            <w:tcMar>
              <w:top w:w="80" w:type="dxa"/>
              <w:bottom w:w="80" w:type="dxa"/>
              <w:left w:w="120" w:type="dxa"/>
              <w:right w:w="120" w:type="dxa"/>
            </w:tcMar>
          </w:tcPr>
          <w:p>
            <w:pPr>
              <w:spacing w:before="40" w:after="40"/>
            </w:pPr>
            <w:r>
              <w:rPr>
                <w:rFonts w:ascii="Calibri" w:hAnsi="Calibri"/>
                <w:sz w:val="18"/>
              </w:rPr>
              <w:t>Fails to reflect newly gazetted rules, circulars, and ongoing precedents.</w:t>
            </w:r>
          </w:p>
        </w:tc>
        <w:tc>
          <w:tcPr>
            <w:tcW w:type="dxa" w:w="3312"/>
            <w:shd w:val="clear" w:color="auto" w:fill="F7F9FC"/>
            <w:tcMar>
              <w:top w:w="80" w:type="dxa"/>
              <w:bottom w:w="80" w:type="dxa"/>
              <w:left w:w="120" w:type="dxa"/>
              <w:right w:w="120" w:type="dxa"/>
            </w:tcMar>
          </w:tcPr>
          <w:p>
            <w:pPr>
              <w:spacing w:before="40" w:after="40"/>
            </w:pPr>
            <w:r>
              <w:rPr>
                <w:rFonts w:ascii="Calibri" w:hAnsi="Calibri"/>
                <w:sz w:val="18"/>
              </w:rPr>
              <w:t>Concurrent Live Web Search Engine targeting Indian Kanoon and official courts.</w:t>
            </w:r>
          </w:p>
        </w:tc>
      </w:tr>
      <w:tr>
        <w:tc>
          <w:tcPr>
            <w:tcW w:type="dxa" w:w="2880"/>
            <w:shd w:val="clear" w:color="auto" w:fill="FFFFFF"/>
            <w:tcMar>
              <w:top w:w="80" w:type="dxa"/>
              <w:bottom w:w="80" w:type="dxa"/>
              <w:left w:w="120" w:type="dxa"/>
              <w:right w:w="120" w:type="dxa"/>
            </w:tcMar>
          </w:tcPr>
          <w:p>
            <w:pPr>
              <w:spacing w:before="40" w:after="40"/>
            </w:pPr>
            <w:r>
              <w:rPr>
                <w:rFonts w:ascii="Calibri" w:hAnsi="Calibri"/>
                <w:sz w:val="18"/>
              </w:rPr>
              <w:t>Blind Retries without Enrichment</w:t>
            </w:r>
          </w:p>
        </w:tc>
        <w:tc>
          <w:tcPr>
            <w:tcW w:type="dxa" w:w="3168"/>
            <w:shd w:val="clear" w:color="auto" w:fill="FFFFFF"/>
            <w:tcMar>
              <w:top w:w="80" w:type="dxa"/>
              <w:bottom w:w="80" w:type="dxa"/>
              <w:left w:w="120" w:type="dxa"/>
              <w:right w:w="120" w:type="dxa"/>
            </w:tcMar>
          </w:tcPr>
          <w:p>
            <w:pPr>
              <w:spacing w:before="40" w:after="40"/>
            </w:pPr>
            <w:r>
              <w:rPr>
                <w:rFonts w:ascii="Calibri" w:hAnsi="Calibri"/>
                <w:sz w:val="18"/>
              </w:rPr>
              <w:t>Retrying the exact same search query reproduces identical poor chunks.</w:t>
            </w:r>
          </w:p>
        </w:tc>
        <w:tc>
          <w:tcPr>
            <w:tcW w:type="dxa" w:w="3312"/>
            <w:shd w:val="clear" w:color="auto" w:fill="FFFFFF"/>
            <w:tcMar>
              <w:top w:w="80" w:type="dxa"/>
              <w:bottom w:w="80" w:type="dxa"/>
              <w:left w:w="120" w:type="dxa"/>
              <w:right w:w="120" w:type="dxa"/>
            </w:tcMar>
          </w:tcPr>
          <w:p>
            <w:pPr>
              <w:spacing w:before="40" w:after="40"/>
            </w:pPr>
            <w:r>
              <w:rPr>
                <w:rFonts w:ascii="Calibri" w:hAnsi="Calibri"/>
                <w:sz w:val="18"/>
              </w:rPr>
              <w:t>Stage 6 Autonomous Retry: Bare act terminology enrichment and hybrid deepening.</w:t>
            </w:r>
          </w:p>
        </w:tc>
      </w:tr>
    </w:tbl>
    <w:p>
      <w:pPr>
        <w:spacing w:before="0" w:after="120"/>
      </w:pPr>
    </w:p>
    <w:p>
      <w:pPr>
        <w:pStyle w:val="Heading1"/>
        <w:spacing w:before="280" w:after="120"/>
      </w:pPr>
      <w:r>
        <w:t>CHAPTER 3: SYSTEM REQUIREMENTS &amp; ENVIRONMENT SPECIFICATIONS</w:t>
      </w:r>
    </w:p>
    <w:p>
      <w:pPr>
        <w:spacing w:before="0" w:after="100" w:line="276" w:lineRule="auto"/>
      </w:pPr>
      <w:r>
        <w:t>• Hardware Requirements: Minimum 16 GB System RAM, Multi-core x86_64 CPU (Intel i5/i7 or AMD Ryzen 5/7), 10 GB Disk Storage for FAISS vectors and JSONL corpora.</w:t>
        <w:br/>
        <w:t>• Software &amp; Runtime: Python 3.12.3, Windows 10/11 / Ubuntu Linux 22.04 LTS, PowerShell / Bash.</w:t>
        <w:br/>
        <w:t>• Key Python Libraries:</w:t>
        <w:br/>
        <w:t xml:space="preserve">  - Retrieval &amp; Vectorization: faiss-cpu (1.8.0+), sentence-transformers (all-MiniLM-L6-v2, ms-marco-MiniLM-L-6-v2), rank_bm25, numpy, scikit-learn.</w:t>
        <w:br/>
        <w:t xml:space="preserve">  - Orchestration &amp; LLM: groq (API client for Llama-3.3-70b-versatile), python-dotenv, pydantic.</w:t>
        <w:br/>
        <w:t xml:space="preserve">  - Document Parsing: pypdf, pdfminer.six, beautifulsoup4, requests, lxml.</w:t>
        <w:br/>
        <w:t xml:space="preserve">  - User Interface: streamlit (1.36.0+), streamlit-extras.</w:t>
      </w:r>
    </w:p>
    <w:p>
      <w:pPr>
        <w:pStyle w:val="Heading1"/>
        <w:spacing w:before="280" w:after="120"/>
      </w:pPr>
      <w:r>
        <w:t>CHAPTER 4: SYSTEM ARCHITECTURE &amp; 7-STAGE PIPELINE</w:t>
      </w:r>
    </w:p>
    <w:p>
      <w:pPr>
        <w:pStyle w:val="Heading2"/>
        <w:spacing w:before="200" w:after="80"/>
      </w:pPr>
      <w:r>
        <w:t>4.1 Architectural Overview</w:t>
      </w:r>
    </w:p>
    <w:p>
      <w:pPr>
        <w:spacing w:before="0" w:after="100" w:line="276" w:lineRule="auto"/>
      </w:pPr>
      <w:r>
        <w:t>NyayaRoute abandons the naive retrieve-then-generate approach in favor of an evidence-gated, pre-generation retrieval-control loop. The end-to-end pipeline operates in seven discrete stages:</w:t>
        <w:br/>
        <w:t>• Stage 1: Legal Query Analysis &amp; Taxonomy Extraction (categorizes into exact_citation, landmark_case, conceptual, or ambiguous).</w:t>
        <w:br/>
        <w:t>• Stage 2: Autonomous Query Reformulation &amp; Entity Enrichment (expands statutory acronyms such as IPC, CrPC, IT Act with negative lookaheads).</w:t>
        <w:br/>
        <w:t>• Stage 3: Tri-Modal Adaptive Routing (dynamically directs to BM25 Sparse, FAISS Dense Semantic, or Hybrid RRF Fusion).</w:t>
        <w:br/>
        <w:t>• Stage 4: Neural Cross-Encoder Reranking (scores top candidates using ms-marco-MiniLM-L-6-v2 cross-attention).</w:t>
        <w:br/>
        <w:t>• Stage 5: Pre-Generation Evidence Sufficiency Gate (acts as quality firewall validating tau &gt;= 0.15 and citation containment).</w:t>
        <w:br/>
        <w:t>• Stage 6: Autonomous Self-Correction Retry Loop (enriches with bare act keywords and widens window if evidence fails).</w:t>
        <w:br/>
        <w:t>• Stage 7: Evidence-Gated Synthesis or Explicit Refusal (Llama-3.3-70b grounded brief or structured Insufficient Evidence Declaration).</w:t>
      </w:r>
    </w:p>
    <w:p>
      <w:pPr>
        <w:pStyle w:val="Heading2"/>
        <w:spacing w:before="200" w:after="80"/>
      </w:pPr>
      <w:r>
        <w:t>4.2 Mathematical Formulations</w:t>
      </w:r>
    </w:p>
    <w:p>
      <w:pPr>
        <w:spacing w:before="0" w:after="100" w:line="276" w:lineRule="auto"/>
      </w:pPr>
      <w:r>
        <w:t>1. BM25 Lexical Score:</w:t>
        <w:br/>
        <w:t xml:space="preserve">   Score(D, Q) = Sum_i [ IDF(q_i) * (f(q_i, D) * (k1 + 1)) / (f(q_i, D) + k1 * (1 - b + b * (|D| / avgdl))) ]</w:t>
        <w:br/>
        <w:t xml:space="preserve">   (where k1 = 1.5, b = 0.75, avgdl is average passage length in corpus).</w:t>
        <w:br/>
        <w:br/>
        <w:t>2. Dense FAISS Inner Product:</w:t>
        <w:br/>
        <w:t xml:space="preserve">   Sim(Q, D) = &lt;E(Q), E(D)&gt; = Sum_j [ Q_j * D_j ] for normalized 384-dimensional embeddings.</w:t>
        <w:br/>
        <w:br/>
        <w:t>3. Reciprocal Rank Fusion (RRF):</w:t>
        <w:br/>
        <w:t xml:space="preserve">   RRF_Score(d) = Sum_{m in {BM25, Dense}} [ 1 / (60 + Rank_m(d)) ].</w:t>
        <w:br/>
        <w:br/>
        <w:t>4. Evidence Sufficiency Gating Function:</w:t>
        <w:br/>
        <w:t xml:space="preserve">   Gate(C) = PASS if [ max_{d in C} S_rerank(Q, d) &gt;= 0.15 AND CitationMatch(Q, C_top8) == True ] else FAIL.</w:t>
      </w:r>
    </w:p>
    <w:p>
      <w:pPr>
        <w:pStyle w:val="Heading1"/>
        <w:spacing w:before="280" w:after="120"/>
      </w:pPr>
      <w:r>
        <w:t>CHAPTER 5: DATASET ENGINEERING, CORPUS STRUCTURING &amp; INGESTION PIPELINE</w:t>
      </w:r>
    </w:p>
    <w:p>
      <w:pPr>
        <w:pStyle w:val="Heading2"/>
        <w:spacing w:before="200" w:after="80"/>
      </w:pPr>
      <w:r>
        <w:t>5.1 Overview of Multi-Tiered Legal Corpora</w:t>
      </w:r>
    </w:p>
    <w:p>
      <w:pPr>
        <w:spacing w:before="0" w:after="100" w:line="276" w:lineRule="auto"/>
      </w:pPr>
      <w:r>
        <w:t>High-reliability legal question answering requires grounding across both primary statutory codifications (the legislative branch) and binding judicial precedents (the judicial branch). NyayaRoute constructs a dual-tiered, hybrid knowledge base comprising:</w:t>
        <w:br/>
        <w:t>1. Statutory &amp; Constitutional Enactments: Core constitutional provisions, landmark legislative acts (e.g., Information Technology Act 2000, IT Intermediary Rules 2021, Coasting Vessels Act 1838, Bharatiya Nyaya Sanhita transitions).</w:t>
        <w:br/>
        <w:t>2. Binding Precedent Case Law (IndicLegalQA): 1,211 curated Supreme Court of India case law digests systematically extracted from the Mendeley IndicLegalQA 10,002 QA dataset.</w:t>
      </w:r>
    </w:p>
    <w:p>
      <w:pPr>
        <w:pStyle w:val="Heading2"/>
        <w:spacing w:before="200" w:after="80"/>
      </w:pPr>
      <w:r>
        <w:t>5.2 IndicLegalQA Dataset Profile &amp; Statistics</w:t>
      </w:r>
    </w:p>
    <w:p>
      <w:pPr>
        <w:spacing w:before="0" w:after="100" w:line="276" w:lineRule="auto"/>
      </w:pPr>
      <w:r>
        <w:t>To evaluate real-world judicial reasoning, NyayaRoute integrates the IndicLegalQA dataset, released under Creative Commons CC BY 4.0. The dataset represents the largest open-access Indian Supreme Court benchmark, derived from 1,256 reported appellate judgments. Table 5.1 provides the comprehensive structural distribution of the indexed corpus.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A192F"/>
            <w:tcMar>
              <w:top w:w="100" w:type="dxa"/>
              <w:bottom w:w="100" w:type="dxa"/>
              <w:left w:w="120" w:type="dxa"/>
              <w:right w:w="120" w:type="dxa"/>
            </w:tcMar>
          </w:tcPr>
          <w:p>
            <w:pPr>
              <w:spacing w:before="40" w:after="40"/>
            </w:pPr>
            <w:r>
              <w:rPr>
                <w:rFonts w:ascii="Calibri" w:hAnsi="Calibri"/>
                <w:b/>
                <w:color w:val="FFFFFF"/>
                <w:sz w:val="19"/>
              </w:rPr>
              <w:t>Corpus Tier</w:t>
            </w:r>
          </w:p>
        </w:tc>
        <w:tc>
          <w:tcPr>
            <w:tcW w:type="dxa" w:w="2592"/>
            <w:shd w:val="clear" w:color="auto" w:fill="0A192F"/>
            <w:tcMar>
              <w:top w:w="100" w:type="dxa"/>
              <w:bottom w:w="100" w:type="dxa"/>
              <w:left w:w="120" w:type="dxa"/>
              <w:right w:w="120" w:type="dxa"/>
            </w:tcMar>
          </w:tcPr>
          <w:p>
            <w:pPr>
              <w:spacing w:before="40" w:after="40"/>
            </w:pPr>
            <w:r>
              <w:rPr>
                <w:rFonts w:ascii="Calibri" w:hAnsi="Calibri"/>
                <w:b/>
                <w:color w:val="FFFFFF"/>
                <w:sz w:val="19"/>
              </w:rPr>
              <w:t>Source Type</w:t>
            </w:r>
          </w:p>
        </w:tc>
        <w:tc>
          <w:tcPr>
            <w:tcW w:type="dxa" w:w="1728"/>
            <w:shd w:val="clear" w:color="auto" w:fill="0A192F"/>
            <w:tcMar>
              <w:top w:w="100" w:type="dxa"/>
              <w:bottom w:w="100" w:type="dxa"/>
              <w:left w:w="120" w:type="dxa"/>
              <w:right w:w="120" w:type="dxa"/>
            </w:tcMar>
          </w:tcPr>
          <w:p>
            <w:pPr>
              <w:spacing w:before="40" w:after="40"/>
            </w:pPr>
            <w:r>
              <w:rPr>
                <w:rFonts w:ascii="Calibri" w:hAnsi="Calibri"/>
                <w:b/>
                <w:color w:val="FFFFFF"/>
                <w:sz w:val="19"/>
              </w:rPr>
              <w:t>Indexed Records</w:t>
            </w:r>
          </w:p>
        </w:tc>
        <w:tc>
          <w:tcPr>
            <w:tcW w:type="dxa" w:w="2592"/>
            <w:shd w:val="clear" w:color="auto" w:fill="0A192F"/>
            <w:tcMar>
              <w:top w:w="100" w:type="dxa"/>
              <w:bottom w:w="100" w:type="dxa"/>
              <w:left w:w="120" w:type="dxa"/>
              <w:right w:w="120" w:type="dxa"/>
            </w:tcMar>
          </w:tcPr>
          <w:p>
            <w:pPr>
              <w:spacing w:before="40" w:after="40"/>
            </w:pPr>
            <w:r>
              <w:rPr>
                <w:rFonts w:ascii="Calibri" w:hAnsi="Calibri"/>
                <w:b/>
                <w:color w:val="FFFFFF"/>
                <w:sz w:val="19"/>
              </w:rPr>
              <w:t>Jurisdictional Scope</w:t>
            </w:r>
          </w:p>
        </w:tc>
        <w:tc>
          <w:tcPr>
            <w:tcW w:type="dxa" w:w="1728"/>
            <w:shd w:val="clear" w:color="auto" w:fill="0A192F"/>
            <w:tcMar>
              <w:top w:w="100" w:type="dxa"/>
              <w:bottom w:w="100" w:type="dxa"/>
              <w:left w:w="120" w:type="dxa"/>
              <w:right w:w="120" w:type="dxa"/>
            </w:tcMar>
          </w:tcPr>
          <w:p>
            <w:pPr>
              <w:spacing w:before="40" w:after="40"/>
            </w:pPr>
            <w:r>
              <w:rPr>
                <w:rFonts w:ascii="Calibri" w:hAnsi="Calibri"/>
                <w:b/>
                <w:color w:val="FFFFFF"/>
                <w:sz w:val="19"/>
              </w:rPr>
              <w:t>Storage Format</w:t>
            </w:r>
          </w:p>
        </w:tc>
      </w:tr>
      <w:tr>
        <w:tc>
          <w:tcPr>
            <w:tcW w:type="dxa" w:w="2160"/>
            <w:shd w:val="clear" w:color="auto" w:fill="FFFFFF"/>
            <w:tcMar>
              <w:top w:w="80" w:type="dxa"/>
              <w:bottom w:w="80" w:type="dxa"/>
              <w:left w:w="120" w:type="dxa"/>
              <w:right w:w="120" w:type="dxa"/>
            </w:tcMar>
          </w:tcPr>
          <w:p>
            <w:pPr>
              <w:spacing w:before="40" w:after="40"/>
            </w:pPr>
            <w:r>
              <w:rPr>
                <w:rFonts w:ascii="Calibri" w:hAnsi="Calibri"/>
                <w:sz w:val="18"/>
              </w:rPr>
              <w:t>Tier 1: Statutory</w:t>
            </w:r>
          </w:p>
        </w:tc>
        <w:tc>
          <w:tcPr>
            <w:tcW w:type="dxa" w:w="2592"/>
            <w:shd w:val="clear" w:color="auto" w:fill="FFFFFF"/>
            <w:tcMar>
              <w:top w:w="80" w:type="dxa"/>
              <w:bottom w:w="80" w:type="dxa"/>
              <w:left w:w="120" w:type="dxa"/>
              <w:right w:w="120" w:type="dxa"/>
            </w:tcMar>
          </w:tcPr>
          <w:p>
            <w:pPr>
              <w:spacing w:before="40" w:after="40"/>
            </w:pPr>
            <w:r>
              <w:rPr>
                <w:rFonts w:ascii="Calibri" w:hAnsi="Calibri"/>
                <w:sz w:val="18"/>
              </w:rPr>
              <w:t>Constitution of India</w:t>
            </w:r>
          </w:p>
        </w:tc>
        <w:tc>
          <w:tcPr>
            <w:tcW w:type="dxa" w:w="1728"/>
            <w:shd w:val="clear" w:color="auto" w:fill="FFFFFF"/>
            <w:tcMar>
              <w:top w:w="80" w:type="dxa"/>
              <w:bottom w:w="80" w:type="dxa"/>
              <w:left w:w="120" w:type="dxa"/>
              <w:right w:w="120" w:type="dxa"/>
            </w:tcMar>
          </w:tcPr>
          <w:p>
            <w:pPr>
              <w:spacing w:before="40" w:after="40"/>
            </w:pPr>
            <w:r>
              <w:rPr>
                <w:rFonts w:ascii="Calibri" w:hAnsi="Calibri"/>
                <w:sz w:val="18"/>
              </w:rPr>
              <w:t>125 Articles</w:t>
            </w:r>
          </w:p>
        </w:tc>
        <w:tc>
          <w:tcPr>
            <w:tcW w:type="dxa" w:w="2592"/>
            <w:shd w:val="clear" w:color="auto" w:fill="FFFFFF"/>
            <w:tcMar>
              <w:top w:w="80" w:type="dxa"/>
              <w:bottom w:w="80" w:type="dxa"/>
              <w:left w:w="120" w:type="dxa"/>
              <w:right w:w="120" w:type="dxa"/>
            </w:tcMar>
          </w:tcPr>
          <w:p>
            <w:pPr>
              <w:spacing w:before="40" w:after="40"/>
            </w:pPr>
            <w:r>
              <w:rPr>
                <w:rFonts w:ascii="Calibri" w:hAnsi="Calibri"/>
                <w:sz w:val="18"/>
              </w:rPr>
              <w:t>Supreme Law / Fundamental Rights</w:t>
            </w:r>
          </w:p>
        </w:tc>
        <w:tc>
          <w:tcPr>
            <w:tcW w:type="dxa" w:w="1728"/>
            <w:shd w:val="clear" w:color="auto" w:fill="FFFFFF"/>
            <w:tcMar>
              <w:top w:w="80" w:type="dxa"/>
              <w:bottom w:w="80" w:type="dxa"/>
              <w:left w:w="120" w:type="dxa"/>
              <w:right w:w="120" w:type="dxa"/>
            </w:tcMar>
          </w:tcPr>
          <w:p>
            <w:pPr>
              <w:spacing w:before="40" w:after="40"/>
            </w:pPr>
            <w:r>
              <w:rPr>
                <w:rFonts w:ascii="Calibri" w:hAnsi="Calibri"/>
                <w:sz w:val="18"/>
              </w:rPr>
              <w:t>JSONL / FAISS</w:t>
            </w:r>
          </w:p>
        </w:tc>
      </w:tr>
      <w:tr>
        <w:tc>
          <w:tcPr>
            <w:tcW w:type="dxa" w:w="2160"/>
            <w:shd w:val="clear" w:color="auto" w:fill="F7F9FC"/>
            <w:tcMar>
              <w:top w:w="80" w:type="dxa"/>
              <w:bottom w:w="80" w:type="dxa"/>
              <w:left w:w="120" w:type="dxa"/>
              <w:right w:w="120" w:type="dxa"/>
            </w:tcMar>
          </w:tcPr>
          <w:p>
            <w:pPr>
              <w:spacing w:before="40" w:after="40"/>
            </w:pPr>
            <w:r>
              <w:rPr>
                <w:rFonts w:ascii="Calibri" w:hAnsi="Calibri"/>
                <w:sz w:val="18"/>
              </w:rPr>
              <w:t>Tier 1: Statutory</w:t>
            </w:r>
          </w:p>
        </w:tc>
        <w:tc>
          <w:tcPr>
            <w:tcW w:type="dxa" w:w="2592"/>
            <w:shd w:val="clear" w:color="auto" w:fill="F7F9FC"/>
            <w:tcMar>
              <w:top w:w="80" w:type="dxa"/>
              <w:bottom w:w="80" w:type="dxa"/>
              <w:left w:w="120" w:type="dxa"/>
              <w:right w:w="120" w:type="dxa"/>
            </w:tcMar>
          </w:tcPr>
          <w:p>
            <w:pPr>
              <w:spacing w:before="40" w:after="40"/>
            </w:pPr>
            <w:r>
              <w:rPr>
                <w:rFonts w:ascii="Calibri" w:hAnsi="Calibri"/>
                <w:sz w:val="18"/>
              </w:rPr>
              <w:t>IT Rules 2021 &amp; Acts</w:t>
            </w:r>
          </w:p>
        </w:tc>
        <w:tc>
          <w:tcPr>
            <w:tcW w:type="dxa" w:w="1728"/>
            <w:shd w:val="clear" w:color="auto" w:fill="F7F9FC"/>
            <w:tcMar>
              <w:top w:w="80" w:type="dxa"/>
              <w:bottom w:w="80" w:type="dxa"/>
              <w:left w:w="120" w:type="dxa"/>
              <w:right w:w="120" w:type="dxa"/>
            </w:tcMar>
          </w:tcPr>
          <w:p>
            <w:pPr>
              <w:spacing w:before="40" w:after="40"/>
            </w:pPr>
            <w:r>
              <w:rPr>
                <w:rFonts w:ascii="Calibri" w:hAnsi="Calibri"/>
                <w:sz w:val="18"/>
              </w:rPr>
              <w:t>80 Sections</w:t>
            </w:r>
          </w:p>
        </w:tc>
        <w:tc>
          <w:tcPr>
            <w:tcW w:type="dxa" w:w="2592"/>
            <w:shd w:val="clear" w:color="auto" w:fill="F7F9FC"/>
            <w:tcMar>
              <w:top w:w="80" w:type="dxa"/>
              <w:bottom w:w="80" w:type="dxa"/>
              <w:left w:w="120" w:type="dxa"/>
              <w:right w:w="120" w:type="dxa"/>
            </w:tcMar>
          </w:tcPr>
          <w:p>
            <w:pPr>
              <w:spacing w:before="40" w:after="40"/>
            </w:pPr>
            <w:r>
              <w:rPr>
                <w:rFonts w:ascii="Calibri" w:hAnsi="Calibri"/>
                <w:sz w:val="18"/>
              </w:rPr>
              <w:t>Central Cyber &amp; Maritime Law</w:t>
            </w:r>
          </w:p>
        </w:tc>
        <w:tc>
          <w:tcPr>
            <w:tcW w:type="dxa" w:w="1728"/>
            <w:shd w:val="clear" w:color="auto" w:fill="F7F9FC"/>
            <w:tcMar>
              <w:top w:w="80" w:type="dxa"/>
              <w:bottom w:w="80" w:type="dxa"/>
              <w:left w:w="120" w:type="dxa"/>
              <w:right w:w="120" w:type="dxa"/>
            </w:tcMar>
          </w:tcPr>
          <w:p>
            <w:pPr>
              <w:spacing w:before="40" w:after="40"/>
            </w:pPr>
            <w:r>
              <w:rPr>
                <w:rFonts w:ascii="Calibri" w:hAnsi="Calibri"/>
                <w:sz w:val="18"/>
              </w:rPr>
              <w:t>JSONL / FAISS</w:t>
            </w:r>
          </w:p>
        </w:tc>
      </w:tr>
      <w:tr>
        <w:tc>
          <w:tcPr>
            <w:tcW w:type="dxa" w:w="2160"/>
            <w:shd w:val="clear" w:color="auto" w:fill="FFFFFF"/>
            <w:tcMar>
              <w:top w:w="80" w:type="dxa"/>
              <w:bottom w:w="80" w:type="dxa"/>
              <w:left w:w="120" w:type="dxa"/>
              <w:right w:w="120" w:type="dxa"/>
            </w:tcMar>
          </w:tcPr>
          <w:p>
            <w:pPr>
              <w:spacing w:before="40" w:after="40"/>
            </w:pPr>
            <w:r>
              <w:rPr>
                <w:rFonts w:ascii="Calibri" w:hAnsi="Calibri"/>
                <w:sz w:val="18"/>
              </w:rPr>
              <w:t>Tier 2: Judicial</w:t>
            </w:r>
          </w:p>
        </w:tc>
        <w:tc>
          <w:tcPr>
            <w:tcW w:type="dxa" w:w="2592"/>
            <w:shd w:val="clear" w:color="auto" w:fill="FFFFFF"/>
            <w:tcMar>
              <w:top w:w="80" w:type="dxa"/>
              <w:bottom w:w="80" w:type="dxa"/>
              <w:left w:w="120" w:type="dxa"/>
              <w:right w:w="120" w:type="dxa"/>
            </w:tcMar>
          </w:tcPr>
          <w:p>
            <w:pPr>
              <w:spacing w:before="40" w:after="40"/>
            </w:pPr>
            <w:r>
              <w:rPr>
                <w:rFonts w:ascii="Calibri" w:hAnsi="Calibri"/>
                <w:sz w:val="18"/>
              </w:rPr>
              <w:t>Supreme Court (Criminal)</w:t>
            </w:r>
          </w:p>
        </w:tc>
        <w:tc>
          <w:tcPr>
            <w:tcW w:type="dxa" w:w="1728"/>
            <w:shd w:val="clear" w:color="auto" w:fill="FFFFFF"/>
            <w:tcMar>
              <w:top w:w="80" w:type="dxa"/>
              <w:bottom w:w="80" w:type="dxa"/>
              <w:left w:w="120" w:type="dxa"/>
              <w:right w:w="120" w:type="dxa"/>
            </w:tcMar>
          </w:tcPr>
          <w:p>
            <w:pPr>
              <w:spacing w:before="40" w:after="40"/>
            </w:pPr>
            <w:r>
              <w:rPr>
                <w:rFonts w:ascii="Calibri" w:hAnsi="Calibri"/>
                <w:sz w:val="18"/>
              </w:rPr>
              <w:t>518 Case Digests</w:t>
            </w:r>
          </w:p>
        </w:tc>
        <w:tc>
          <w:tcPr>
            <w:tcW w:type="dxa" w:w="2592"/>
            <w:shd w:val="clear" w:color="auto" w:fill="FFFFFF"/>
            <w:tcMar>
              <w:top w:w="80" w:type="dxa"/>
              <w:bottom w:w="80" w:type="dxa"/>
              <w:left w:w="120" w:type="dxa"/>
              <w:right w:w="120" w:type="dxa"/>
            </w:tcMar>
          </w:tcPr>
          <w:p>
            <w:pPr>
              <w:spacing w:before="40" w:after="40"/>
            </w:pPr>
            <w:r>
              <w:rPr>
                <w:rFonts w:ascii="Calibri" w:hAnsi="Calibri"/>
                <w:sz w:val="18"/>
              </w:rPr>
              <w:t>Appellate Criminal Jurisprudence</w:t>
            </w:r>
          </w:p>
        </w:tc>
        <w:tc>
          <w:tcPr>
            <w:tcW w:type="dxa" w:w="1728"/>
            <w:shd w:val="clear" w:color="auto" w:fill="FFFFFF"/>
            <w:tcMar>
              <w:top w:w="80" w:type="dxa"/>
              <w:bottom w:w="80" w:type="dxa"/>
              <w:left w:w="120" w:type="dxa"/>
              <w:right w:w="120" w:type="dxa"/>
            </w:tcMar>
          </w:tcPr>
          <w:p>
            <w:pPr>
              <w:spacing w:before="40" w:after="40"/>
            </w:pPr>
            <w:r>
              <w:rPr>
                <w:rFonts w:ascii="Calibri" w:hAnsi="Calibri"/>
                <w:sz w:val="18"/>
              </w:rPr>
              <w:t>JSONL / FAISS</w:t>
            </w:r>
          </w:p>
        </w:tc>
      </w:tr>
      <w:tr>
        <w:tc>
          <w:tcPr>
            <w:tcW w:type="dxa" w:w="2160"/>
            <w:shd w:val="clear" w:color="auto" w:fill="F7F9FC"/>
            <w:tcMar>
              <w:top w:w="80" w:type="dxa"/>
              <w:bottom w:w="80" w:type="dxa"/>
              <w:left w:w="120" w:type="dxa"/>
              <w:right w:w="120" w:type="dxa"/>
            </w:tcMar>
          </w:tcPr>
          <w:p>
            <w:pPr>
              <w:spacing w:before="40" w:after="40"/>
            </w:pPr>
            <w:r>
              <w:rPr>
                <w:rFonts w:ascii="Calibri" w:hAnsi="Calibri"/>
                <w:sz w:val="18"/>
              </w:rPr>
              <w:t>Tier 2: Judicial</w:t>
            </w:r>
          </w:p>
        </w:tc>
        <w:tc>
          <w:tcPr>
            <w:tcW w:type="dxa" w:w="2592"/>
            <w:shd w:val="clear" w:color="auto" w:fill="F7F9FC"/>
            <w:tcMar>
              <w:top w:w="80" w:type="dxa"/>
              <w:bottom w:w="80" w:type="dxa"/>
              <w:left w:w="120" w:type="dxa"/>
              <w:right w:w="120" w:type="dxa"/>
            </w:tcMar>
          </w:tcPr>
          <w:p>
            <w:pPr>
              <w:spacing w:before="40" w:after="40"/>
            </w:pPr>
            <w:r>
              <w:rPr>
                <w:rFonts w:ascii="Calibri" w:hAnsi="Calibri"/>
                <w:sz w:val="18"/>
              </w:rPr>
              <w:t>Supreme Court (Civil/Const.)</w:t>
            </w:r>
          </w:p>
        </w:tc>
        <w:tc>
          <w:tcPr>
            <w:tcW w:type="dxa" w:w="1728"/>
            <w:shd w:val="clear" w:color="auto" w:fill="F7F9FC"/>
            <w:tcMar>
              <w:top w:w="80" w:type="dxa"/>
              <w:bottom w:w="80" w:type="dxa"/>
              <w:left w:w="120" w:type="dxa"/>
              <w:right w:w="120" w:type="dxa"/>
            </w:tcMar>
          </w:tcPr>
          <w:p>
            <w:pPr>
              <w:spacing w:before="40" w:after="40"/>
            </w:pPr>
            <w:r>
              <w:rPr>
                <w:rFonts w:ascii="Calibri" w:hAnsi="Calibri"/>
                <w:sz w:val="18"/>
              </w:rPr>
              <w:t>693 Case Digests</w:t>
            </w:r>
          </w:p>
        </w:tc>
        <w:tc>
          <w:tcPr>
            <w:tcW w:type="dxa" w:w="2592"/>
            <w:shd w:val="clear" w:color="auto" w:fill="F7F9FC"/>
            <w:tcMar>
              <w:top w:w="80" w:type="dxa"/>
              <w:bottom w:w="80" w:type="dxa"/>
              <w:left w:w="120" w:type="dxa"/>
              <w:right w:w="120" w:type="dxa"/>
            </w:tcMar>
          </w:tcPr>
          <w:p>
            <w:pPr>
              <w:spacing w:before="40" w:after="40"/>
            </w:pPr>
            <w:r>
              <w:rPr>
                <w:rFonts w:ascii="Calibri" w:hAnsi="Calibri"/>
                <w:sz w:val="18"/>
              </w:rPr>
              <w:t>Civil, Tax &amp; Constitutional Writs</w:t>
            </w:r>
          </w:p>
        </w:tc>
        <w:tc>
          <w:tcPr>
            <w:tcW w:type="dxa" w:w="1728"/>
            <w:shd w:val="clear" w:color="auto" w:fill="F7F9FC"/>
            <w:tcMar>
              <w:top w:w="80" w:type="dxa"/>
              <w:bottom w:w="80" w:type="dxa"/>
              <w:left w:w="120" w:type="dxa"/>
              <w:right w:w="120" w:type="dxa"/>
            </w:tcMar>
          </w:tcPr>
          <w:p>
            <w:pPr>
              <w:spacing w:before="40" w:after="40"/>
            </w:pPr>
            <w:r>
              <w:rPr>
                <w:rFonts w:ascii="Calibri" w:hAnsi="Calibri"/>
                <w:sz w:val="18"/>
              </w:rPr>
              <w:t>JSONL / FAISS</w:t>
            </w:r>
          </w:p>
        </w:tc>
      </w:tr>
      <w:tr>
        <w:tc>
          <w:tcPr>
            <w:tcW w:type="dxa" w:w="2160"/>
            <w:shd w:val="clear" w:color="auto" w:fill="FFFFFF"/>
            <w:tcMar>
              <w:top w:w="80" w:type="dxa"/>
              <w:bottom w:w="80" w:type="dxa"/>
              <w:left w:w="120" w:type="dxa"/>
              <w:right w:w="120" w:type="dxa"/>
            </w:tcMar>
          </w:tcPr>
          <w:p>
            <w:pPr>
              <w:spacing w:before="40" w:after="40"/>
            </w:pPr>
            <w:r>
              <w:rPr>
                <w:rFonts w:ascii="Calibri" w:hAnsi="Calibri"/>
                <w:b/>
                <w:sz w:val="18"/>
              </w:rPr>
              <w:t>Total Knowledge Base</w:t>
            </w:r>
          </w:p>
        </w:tc>
        <w:tc>
          <w:tcPr>
            <w:tcW w:type="dxa" w:w="2592"/>
            <w:shd w:val="clear" w:color="auto" w:fill="FFFFFF"/>
            <w:tcMar>
              <w:top w:w="80" w:type="dxa"/>
              <w:bottom w:w="80" w:type="dxa"/>
              <w:left w:w="120" w:type="dxa"/>
              <w:right w:w="120" w:type="dxa"/>
            </w:tcMar>
          </w:tcPr>
          <w:p>
            <w:pPr>
              <w:spacing w:before="40" w:after="40"/>
            </w:pPr>
            <w:r>
              <w:rPr>
                <w:rFonts w:ascii="Calibri" w:hAnsi="Calibri"/>
                <w:sz w:val="18"/>
              </w:rPr>
              <w:t>Primary &amp; Judicial Law</w:t>
            </w:r>
          </w:p>
        </w:tc>
        <w:tc>
          <w:tcPr>
            <w:tcW w:type="dxa" w:w="1728"/>
            <w:shd w:val="clear" w:color="auto" w:fill="FFFFFF"/>
            <w:tcMar>
              <w:top w:w="80" w:type="dxa"/>
              <w:bottom w:w="80" w:type="dxa"/>
              <w:left w:w="120" w:type="dxa"/>
              <w:right w:w="120" w:type="dxa"/>
            </w:tcMar>
          </w:tcPr>
          <w:p>
            <w:pPr>
              <w:spacing w:before="40" w:after="40"/>
            </w:pPr>
            <w:r>
              <w:rPr>
                <w:rFonts w:ascii="Calibri" w:hAnsi="Calibri"/>
                <w:sz w:val="18"/>
              </w:rPr>
              <w:t>1,416 Records</w:t>
            </w:r>
          </w:p>
        </w:tc>
        <w:tc>
          <w:tcPr>
            <w:tcW w:type="dxa" w:w="2592"/>
            <w:shd w:val="clear" w:color="auto" w:fill="FFFFFF"/>
            <w:tcMar>
              <w:top w:w="80" w:type="dxa"/>
              <w:bottom w:w="80" w:type="dxa"/>
              <w:left w:w="120" w:type="dxa"/>
              <w:right w:w="120" w:type="dxa"/>
            </w:tcMar>
          </w:tcPr>
          <w:p>
            <w:pPr>
              <w:spacing w:before="40" w:after="40"/>
            </w:pPr>
            <w:r>
              <w:rPr>
                <w:rFonts w:ascii="Calibri" w:hAnsi="Calibri"/>
                <w:sz w:val="18"/>
              </w:rPr>
              <w:t>All-India Binding Precedents</w:t>
            </w:r>
          </w:p>
        </w:tc>
        <w:tc>
          <w:tcPr>
            <w:tcW w:type="dxa" w:w="1728"/>
            <w:shd w:val="clear" w:color="auto" w:fill="FFFFFF"/>
            <w:tcMar>
              <w:top w:w="80" w:type="dxa"/>
              <w:bottom w:w="80" w:type="dxa"/>
              <w:left w:w="120" w:type="dxa"/>
              <w:right w:w="120" w:type="dxa"/>
            </w:tcMar>
          </w:tcPr>
          <w:p>
            <w:pPr>
              <w:spacing w:before="40" w:after="40"/>
            </w:pPr>
            <w:r>
              <w:rPr>
                <w:rFonts w:ascii="Calibri" w:hAnsi="Calibri"/>
                <w:sz w:val="18"/>
              </w:rPr>
              <w:t>IndexFlatIP</w:t>
            </w:r>
          </w:p>
        </w:tc>
      </w:tr>
    </w:tbl>
    <w:p>
      <w:pPr>
        <w:spacing w:before="0" w:after="120"/>
      </w:pPr>
    </w:p>
    <w:p>
      <w:pPr>
        <w:pStyle w:val="Heading2"/>
        <w:spacing w:before="200" w:after="80"/>
      </w:pPr>
      <w:r>
        <w:t>5.3 Domain-Specific Legal Chunking Algorithms (chunker.py)</w:t>
      </w:r>
    </w:p>
    <w:p>
      <w:pPr>
        <w:spacing w:before="0" w:after="100" w:line="276" w:lineRule="auto"/>
      </w:pPr>
      <w:r>
        <w:t>Standard recursive text splitters fail in the legal domain because they split text based on arbitrary character lengths, severing statutory provisos, exceptions, and procedural headers. NyayaRoute introduces four specialized chunking engines:</w:t>
        <w:br/>
        <w:t>• ConstitutionChunker: Preserves the structural hierarchy of Articles (Article 1 to 395), sub-clauses, and marginal notes.</w:t>
        <w:br/>
        <w:t>• ActChunker: Leverages NUMBERED_SECTION_RE regex patterns to parse statutory enactments into atomic sections without detaching legislative explanations or punishment sub-sections.</w:t>
        <w:br/>
        <w:t>• JudgmentChunker: Splits judicial opinions into logical judicial divisions: Facts, Issues, Arguments of Counsel, Held, and Ratio Decidendi.</w:t>
        <w:br/>
        <w:t>• GenericChunker: Employs a sliding token window with strict word-boundary checks to prevent truncation of legal terminology.</w:t>
      </w:r>
    </w:p>
    <w:p>
      <w:pPr>
        <w:pStyle w:val="Heading2"/>
        <w:spacing w:before="200" w:after="80"/>
      </w:pPr>
      <w:r>
        <w:t>5.4 PDF Document Ingestion &amp; Trusted Web Sources</w:t>
      </w:r>
    </w:p>
    <w:p>
      <w:pPr>
        <w:spacing w:before="0" w:after="100" w:line="276" w:lineRule="auto"/>
      </w:pPr>
      <w:r>
        <w:t>To support dynamic knowledge expansion, NyayaRoute includes a security-governed ingestion pipeline (pdf_ingestor.py and trusted_sources.py). Users can upload official gazette notifications or supply government portal URLs (e.g., india.gov.in, sci.gov.in, egazette.gov.in). The system extracts textual content via pdfminer.six, automatically detects document classification, executes the appropriate chunker, embeds the passages via all-MiniLM-L6-v2, and atomically updates the FAISS index and metadata store.</w:t>
      </w:r>
    </w:p>
    <w:p>
      <w:pPr>
        <w:pStyle w:val="Heading2"/>
        <w:spacing w:before="200" w:after="80"/>
      </w:pPr>
      <w:r>
        <w:t>5.5 Live Precedent Searcher (live_web_searcher.py)</w:t>
      </w:r>
    </w:p>
    <w:p>
      <w:pPr>
        <w:spacing w:before="0" w:after="100" w:line="276" w:lineRule="auto"/>
      </w:pPr>
      <w:r>
        <w:t>Static knowledge bases inherently suffer from publication lag. NyayaRoute addresses this via a high-speed, concurrent scraping engine targeting Indian Kanoon (indiankanoon.org). When live web search is enabled, the engine queries the court registry in parallel using ThreadPoolExecutor, parses document identifiers using regex patterns (/(?:doc|docfragment)/(\d+)), and fetches judgment extracts under strict 1.8s connection and 3.0s read timeouts.</w:t>
      </w:r>
    </w:p>
    <w:p>
      <w:pPr>
        <w:pStyle w:val="Heading1"/>
        <w:spacing w:before="280" w:after="120"/>
      </w:pPr>
      <w:r>
        <w:t>CHAPTER 6: IMPLEMENTATION DETAILS &amp; CORE CODEBASE REALIZATION</w:t>
      </w:r>
    </w:p>
    <w:p>
      <w:pPr>
        <w:spacing w:before="0" w:after="100" w:line="276" w:lineRule="auto"/>
      </w:pPr>
      <w:r>
        <w:t>NyayaRoute is implemented in Python 3.12 across 8 modular, tightly decoupled components designed for maximum testability and auditability. This chapter documents the core architectural implementations, key algorithms, and critical engineering fixes.</w:t>
      </w:r>
    </w:p>
    <w:p>
      <w:pPr>
        <w:pStyle w:val="Heading2"/>
        <w:spacing w:before="200" w:after="80"/>
      </w:pPr>
      <w:r>
        <w:t>6.1 Core Architectural Modules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val="clear" w:color="auto" w:fill="0A192F"/>
            <w:tcMar>
              <w:top w:w="100" w:type="dxa"/>
              <w:bottom w:w="100" w:type="dxa"/>
              <w:left w:w="120" w:type="dxa"/>
              <w:right w:w="120" w:type="dxa"/>
            </w:tcMar>
          </w:tcPr>
          <w:p>
            <w:pPr>
              <w:spacing w:before="40" w:after="40"/>
            </w:pPr>
            <w:r>
              <w:rPr>
                <w:rFonts w:ascii="Calibri" w:hAnsi="Calibri"/>
                <w:b/>
                <w:color w:val="FFFFFF"/>
                <w:sz w:val="19"/>
              </w:rPr>
              <w:t>Module File</w:t>
            </w:r>
          </w:p>
        </w:tc>
        <w:tc>
          <w:tcPr>
            <w:tcW w:type="dxa" w:w="1152"/>
            <w:shd w:val="clear" w:color="auto" w:fill="0A192F"/>
            <w:tcMar>
              <w:top w:w="100" w:type="dxa"/>
              <w:bottom w:w="100" w:type="dxa"/>
              <w:left w:w="120" w:type="dxa"/>
              <w:right w:w="120" w:type="dxa"/>
            </w:tcMar>
          </w:tcPr>
          <w:p>
            <w:pPr>
              <w:spacing w:before="40" w:after="40"/>
            </w:pPr>
            <w:r>
              <w:rPr>
                <w:rFonts w:ascii="Calibri" w:hAnsi="Calibri"/>
                <w:b/>
                <w:color w:val="FFFFFF"/>
                <w:sz w:val="19"/>
              </w:rPr>
              <w:t>File Size</w:t>
            </w:r>
          </w:p>
        </w:tc>
        <w:tc>
          <w:tcPr>
            <w:tcW w:type="dxa" w:w="3600"/>
            <w:shd w:val="clear" w:color="auto" w:fill="0A192F"/>
            <w:tcMar>
              <w:top w:w="100" w:type="dxa"/>
              <w:bottom w:w="100" w:type="dxa"/>
              <w:left w:w="120" w:type="dxa"/>
              <w:right w:w="120" w:type="dxa"/>
            </w:tcMar>
          </w:tcPr>
          <w:p>
            <w:pPr>
              <w:spacing w:before="40" w:after="40"/>
            </w:pPr>
            <w:r>
              <w:rPr>
                <w:rFonts w:ascii="Calibri" w:hAnsi="Calibri"/>
                <w:b/>
                <w:color w:val="FFFFFF"/>
                <w:sz w:val="19"/>
              </w:rPr>
              <w:t>Primary Responsibility</w:t>
            </w:r>
          </w:p>
        </w:tc>
        <w:tc>
          <w:tcPr>
            <w:tcW w:type="dxa" w:w="2448"/>
            <w:shd w:val="clear" w:color="auto" w:fill="0A192F"/>
            <w:tcMar>
              <w:top w:w="100" w:type="dxa"/>
              <w:bottom w:w="100" w:type="dxa"/>
              <w:left w:w="120" w:type="dxa"/>
              <w:right w:w="120" w:type="dxa"/>
            </w:tcMar>
          </w:tcPr>
          <w:p>
            <w:pPr>
              <w:spacing w:before="40" w:after="40"/>
            </w:pPr>
            <w:r>
              <w:rPr>
                <w:rFonts w:ascii="Calibri" w:hAnsi="Calibri"/>
                <w:b/>
                <w:color w:val="FFFFFF"/>
                <w:sz w:val="19"/>
              </w:rPr>
              <w:t>Key Classes / Functions</w:t>
            </w:r>
          </w:p>
        </w:tc>
      </w:tr>
      <w:tr>
        <w:tc>
          <w:tcPr>
            <w:tcW w:type="dxa" w:w="2160"/>
            <w:shd w:val="clear" w:color="auto" w:fill="FFFFFF"/>
            <w:tcMar>
              <w:top w:w="80" w:type="dxa"/>
              <w:bottom w:w="80" w:type="dxa"/>
              <w:left w:w="120" w:type="dxa"/>
              <w:right w:w="120" w:type="dxa"/>
            </w:tcMar>
          </w:tcPr>
          <w:p>
            <w:pPr>
              <w:spacing w:before="40" w:after="40"/>
            </w:pPr>
            <w:r>
              <w:rPr>
                <w:rFonts w:ascii="Calibri" w:hAnsi="Calibri"/>
                <w:sz w:val="18"/>
              </w:rPr>
              <w:t>rag_engine.py</w:t>
            </w:r>
          </w:p>
        </w:tc>
        <w:tc>
          <w:tcPr>
            <w:tcW w:type="dxa" w:w="1152"/>
            <w:shd w:val="clear" w:color="auto" w:fill="FFFFFF"/>
            <w:tcMar>
              <w:top w:w="80" w:type="dxa"/>
              <w:bottom w:w="80" w:type="dxa"/>
              <w:left w:w="120" w:type="dxa"/>
              <w:right w:w="120" w:type="dxa"/>
            </w:tcMar>
          </w:tcPr>
          <w:p>
            <w:pPr>
              <w:spacing w:before="40" w:after="40"/>
            </w:pPr>
            <w:r>
              <w:rPr>
                <w:rFonts w:ascii="Calibri" w:hAnsi="Calibri"/>
                <w:sz w:val="18"/>
              </w:rPr>
              <w:t>49.8 KB</w:t>
            </w:r>
          </w:p>
        </w:tc>
        <w:tc>
          <w:tcPr>
            <w:tcW w:type="dxa" w:w="3600"/>
            <w:shd w:val="clear" w:color="auto" w:fill="FFFFFF"/>
            <w:tcMar>
              <w:top w:w="80" w:type="dxa"/>
              <w:bottom w:w="80" w:type="dxa"/>
              <w:left w:w="120" w:type="dxa"/>
              <w:right w:w="120" w:type="dxa"/>
            </w:tcMar>
          </w:tcPr>
          <w:p>
            <w:pPr>
              <w:spacing w:before="40" w:after="40"/>
            </w:pPr>
            <w:r>
              <w:rPr>
                <w:rFonts w:ascii="Calibri" w:hAnsi="Calibri"/>
                <w:sz w:val="18"/>
              </w:rPr>
              <w:t>Orchestrates 7-stage pipeline, gating, &amp; synthesis</w:t>
            </w:r>
          </w:p>
        </w:tc>
        <w:tc>
          <w:tcPr>
            <w:tcW w:type="dxa" w:w="2448"/>
            <w:shd w:val="clear" w:color="auto" w:fill="FFFFFF"/>
            <w:tcMar>
              <w:top w:w="80" w:type="dxa"/>
              <w:bottom w:w="80" w:type="dxa"/>
              <w:left w:w="120" w:type="dxa"/>
              <w:right w:w="120" w:type="dxa"/>
            </w:tcMar>
          </w:tcPr>
          <w:p>
            <w:pPr>
              <w:spacing w:before="40" w:after="40"/>
            </w:pPr>
            <w:r>
              <w:rPr>
                <w:rFonts w:ascii="Calibri" w:hAnsi="Calibri"/>
                <w:sz w:val="18"/>
              </w:rPr>
              <w:t>LegalRetriever, run_agent, evidence_gate</w:t>
            </w:r>
          </w:p>
        </w:tc>
      </w:tr>
      <w:tr>
        <w:tc>
          <w:tcPr>
            <w:tcW w:type="dxa" w:w="2160"/>
            <w:shd w:val="clear" w:color="auto" w:fill="F7F9FC"/>
            <w:tcMar>
              <w:top w:w="80" w:type="dxa"/>
              <w:bottom w:w="80" w:type="dxa"/>
              <w:left w:w="120" w:type="dxa"/>
              <w:right w:w="120" w:type="dxa"/>
            </w:tcMar>
          </w:tcPr>
          <w:p>
            <w:pPr>
              <w:spacing w:before="40" w:after="40"/>
            </w:pPr>
            <w:r>
              <w:rPr>
                <w:rFonts w:ascii="Calibri" w:hAnsi="Calibri"/>
                <w:sz w:val="18"/>
              </w:rPr>
              <w:t>chunker.py</w:t>
            </w:r>
          </w:p>
        </w:tc>
        <w:tc>
          <w:tcPr>
            <w:tcW w:type="dxa" w:w="1152"/>
            <w:shd w:val="clear" w:color="auto" w:fill="F7F9FC"/>
            <w:tcMar>
              <w:top w:w="80" w:type="dxa"/>
              <w:bottom w:w="80" w:type="dxa"/>
              <w:left w:w="120" w:type="dxa"/>
              <w:right w:w="120" w:type="dxa"/>
            </w:tcMar>
          </w:tcPr>
          <w:p>
            <w:pPr>
              <w:spacing w:before="40" w:after="40"/>
            </w:pPr>
            <w:r>
              <w:rPr>
                <w:rFonts w:ascii="Calibri" w:hAnsi="Calibri"/>
                <w:sz w:val="18"/>
              </w:rPr>
              <w:t>11.3 KB</w:t>
            </w:r>
          </w:p>
        </w:tc>
        <w:tc>
          <w:tcPr>
            <w:tcW w:type="dxa" w:w="3600"/>
            <w:shd w:val="clear" w:color="auto" w:fill="F7F9FC"/>
            <w:tcMar>
              <w:top w:w="80" w:type="dxa"/>
              <w:bottom w:w="80" w:type="dxa"/>
              <w:left w:w="120" w:type="dxa"/>
              <w:right w:w="120" w:type="dxa"/>
            </w:tcMar>
          </w:tcPr>
          <w:p>
            <w:pPr>
              <w:spacing w:before="40" w:after="40"/>
            </w:pPr>
            <w:r>
              <w:rPr>
                <w:rFonts w:ascii="Calibri" w:hAnsi="Calibri"/>
                <w:sz w:val="18"/>
              </w:rPr>
              <w:t>Legal document classification and boundary chunking</w:t>
            </w:r>
          </w:p>
        </w:tc>
        <w:tc>
          <w:tcPr>
            <w:tcW w:type="dxa" w:w="2448"/>
            <w:shd w:val="clear" w:color="auto" w:fill="F7F9FC"/>
            <w:tcMar>
              <w:top w:w="80" w:type="dxa"/>
              <w:bottom w:w="80" w:type="dxa"/>
              <w:left w:w="120" w:type="dxa"/>
              <w:right w:w="120" w:type="dxa"/>
            </w:tcMar>
          </w:tcPr>
          <w:p>
            <w:pPr>
              <w:spacing w:before="40" w:after="40"/>
            </w:pPr>
            <w:r>
              <w:rPr>
                <w:rFonts w:ascii="Calibri" w:hAnsi="Calibri"/>
                <w:sz w:val="18"/>
              </w:rPr>
              <w:t>classify_document, ActChunker, ConstitutionChunker</w:t>
            </w:r>
          </w:p>
        </w:tc>
      </w:tr>
      <w:tr>
        <w:tc>
          <w:tcPr>
            <w:tcW w:type="dxa" w:w="2160"/>
            <w:shd w:val="clear" w:color="auto" w:fill="FFFFFF"/>
            <w:tcMar>
              <w:top w:w="80" w:type="dxa"/>
              <w:bottom w:w="80" w:type="dxa"/>
              <w:left w:w="120" w:type="dxa"/>
              <w:right w:w="120" w:type="dxa"/>
            </w:tcMar>
          </w:tcPr>
          <w:p>
            <w:pPr>
              <w:spacing w:before="40" w:after="40"/>
            </w:pPr>
            <w:r>
              <w:rPr>
                <w:rFonts w:ascii="Calibri" w:hAnsi="Calibri"/>
                <w:sz w:val="18"/>
              </w:rPr>
              <w:t>faiss_store.py</w:t>
            </w:r>
          </w:p>
        </w:tc>
        <w:tc>
          <w:tcPr>
            <w:tcW w:type="dxa" w:w="1152"/>
            <w:shd w:val="clear" w:color="auto" w:fill="FFFFFF"/>
            <w:tcMar>
              <w:top w:w="80" w:type="dxa"/>
              <w:bottom w:w="80" w:type="dxa"/>
              <w:left w:w="120" w:type="dxa"/>
              <w:right w:w="120" w:type="dxa"/>
            </w:tcMar>
          </w:tcPr>
          <w:p>
            <w:pPr>
              <w:spacing w:before="40" w:after="40"/>
            </w:pPr>
            <w:r>
              <w:rPr>
                <w:rFonts w:ascii="Calibri" w:hAnsi="Calibri"/>
                <w:sz w:val="18"/>
              </w:rPr>
              <w:t>4.2 KB</w:t>
            </w:r>
          </w:p>
        </w:tc>
        <w:tc>
          <w:tcPr>
            <w:tcW w:type="dxa" w:w="3600"/>
            <w:shd w:val="clear" w:color="auto" w:fill="FFFFFF"/>
            <w:tcMar>
              <w:top w:w="80" w:type="dxa"/>
              <w:bottom w:w="80" w:type="dxa"/>
              <w:left w:w="120" w:type="dxa"/>
              <w:right w:w="120" w:type="dxa"/>
            </w:tcMar>
          </w:tcPr>
          <w:p>
            <w:pPr>
              <w:spacing w:before="40" w:after="40"/>
            </w:pPr>
            <w:r>
              <w:rPr>
                <w:rFonts w:ascii="Calibri" w:hAnsi="Calibri"/>
                <w:sz w:val="18"/>
              </w:rPr>
              <w:t>FAISS vector database wrapper &amp; index synchronization</w:t>
            </w:r>
          </w:p>
        </w:tc>
        <w:tc>
          <w:tcPr>
            <w:tcW w:type="dxa" w:w="2448"/>
            <w:shd w:val="clear" w:color="auto" w:fill="FFFFFF"/>
            <w:tcMar>
              <w:top w:w="80" w:type="dxa"/>
              <w:bottom w:w="80" w:type="dxa"/>
              <w:left w:w="120" w:type="dxa"/>
              <w:right w:w="120" w:type="dxa"/>
            </w:tcMar>
          </w:tcPr>
          <w:p>
            <w:pPr>
              <w:spacing w:before="40" w:after="40"/>
            </w:pPr>
            <w:r>
              <w:rPr>
                <w:rFonts w:ascii="Calibri" w:hAnsi="Calibri"/>
                <w:sz w:val="18"/>
              </w:rPr>
              <w:t>FAISSVectorStore, normalize_embeddings</w:t>
            </w:r>
          </w:p>
        </w:tc>
      </w:tr>
      <w:tr>
        <w:tc>
          <w:tcPr>
            <w:tcW w:type="dxa" w:w="2160"/>
            <w:shd w:val="clear" w:color="auto" w:fill="F7F9FC"/>
            <w:tcMar>
              <w:top w:w="80" w:type="dxa"/>
              <w:bottom w:w="80" w:type="dxa"/>
              <w:left w:w="120" w:type="dxa"/>
              <w:right w:w="120" w:type="dxa"/>
            </w:tcMar>
          </w:tcPr>
          <w:p>
            <w:pPr>
              <w:spacing w:before="40" w:after="40"/>
            </w:pPr>
            <w:r>
              <w:rPr>
                <w:rFonts w:ascii="Calibri" w:hAnsi="Calibri"/>
                <w:sz w:val="18"/>
              </w:rPr>
              <w:t>vector_store.py</w:t>
            </w:r>
          </w:p>
        </w:tc>
        <w:tc>
          <w:tcPr>
            <w:tcW w:type="dxa" w:w="1152"/>
            <w:shd w:val="clear" w:color="auto" w:fill="F7F9FC"/>
            <w:tcMar>
              <w:top w:w="80" w:type="dxa"/>
              <w:bottom w:w="80" w:type="dxa"/>
              <w:left w:w="120" w:type="dxa"/>
              <w:right w:w="120" w:type="dxa"/>
            </w:tcMar>
          </w:tcPr>
          <w:p>
            <w:pPr>
              <w:spacing w:before="40" w:after="40"/>
            </w:pPr>
            <w:r>
              <w:rPr>
                <w:rFonts w:ascii="Calibri" w:hAnsi="Calibri"/>
                <w:sz w:val="18"/>
              </w:rPr>
              <w:t>6.5 KB</w:t>
            </w:r>
          </w:p>
        </w:tc>
        <w:tc>
          <w:tcPr>
            <w:tcW w:type="dxa" w:w="3600"/>
            <w:shd w:val="clear" w:color="auto" w:fill="F7F9FC"/>
            <w:tcMar>
              <w:top w:w="80" w:type="dxa"/>
              <w:bottom w:w="80" w:type="dxa"/>
              <w:left w:w="120" w:type="dxa"/>
              <w:right w:w="120" w:type="dxa"/>
            </w:tcMar>
          </w:tcPr>
          <w:p>
            <w:pPr>
              <w:spacing w:before="40" w:after="40"/>
            </w:pPr>
            <w:r>
              <w:rPr>
                <w:rFonts w:ascii="Calibri" w:hAnsi="Calibri"/>
                <w:sz w:val="18"/>
              </w:rPr>
              <w:t>Unified vector search interface with dual index fallbacks</w:t>
            </w:r>
          </w:p>
        </w:tc>
        <w:tc>
          <w:tcPr>
            <w:tcW w:type="dxa" w:w="2448"/>
            <w:shd w:val="clear" w:color="auto" w:fill="F7F9FC"/>
            <w:tcMar>
              <w:top w:w="80" w:type="dxa"/>
              <w:bottom w:w="80" w:type="dxa"/>
              <w:left w:w="120" w:type="dxa"/>
              <w:right w:w="120" w:type="dxa"/>
            </w:tcMar>
          </w:tcPr>
          <w:p>
            <w:pPr>
              <w:spacing w:before="40" w:after="40"/>
            </w:pPr>
            <w:r>
              <w:rPr>
                <w:rFonts w:ascii="Calibri" w:hAnsi="Calibri"/>
                <w:sz w:val="18"/>
              </w:rPr>
              <w:t>VectorStore, search_similar, compute_similarity</w:t>
            </w:r>
          </w:p>
        </w:tc>
      </w:tr>
      <w:tr>
        <w:tc>
          <w:tcPr>
            <w:tcW w:type="dxa" w:w="2160"/>
            <w:shd w:val="clear" w:color="auto" w:fill="FFFFFF"/>
            <w:tcMar>
              <w:top w:w="80" w:type="dxa"/>
              <w:bottom w:w="80" w:type="dxa"/>
              <w:left w:w="120" w:type="dxa"/>
              <w:right w:w="120" w:type="dxa"/>
            </w:tcMar>
          </w:tcPr>
          <w:p>
            <w:pPr>
              <w:spacing w:before="40" w:after="40"/>
            </w:pPr>
            <w:r>
              <w:rPr>
                <w:rFonts w:ascii="Calibri" w:hAnsi="Calibri"/>
                <w:sz w:val="18"/>
              </w:rPr>
              <w:t>live_web_searcher.py</w:t>
            </w:r>
          </w:p>
        </w:tc>
        <w:tc>
          <w:tcPr>
            <w:tcW w:type="dxa" w:w="1152"/>
            <w:shd w:val="clear" w:color="auto" w:fill="FFFFFF"/>
            <w:tcMar>
              <w:top w:w="80" w:type="dxa"/>
              <w:bottom w:w="80" w:type="dxa"/>
              <w:left w:w="120" w:type="dxa"/>
              <w:right w:w="120" w:type="dxa"/>
            </w:tcMar>
          </w:tcPr>
          <w:p>
            <w:pPr>
              <w:spacing w:before="40" w:after="40"/>
            </w:pPr>
            <w:r>
              <w:rPr>
                <w:rFonts w:ascii="Calibri" w:hAnsi="Calibri"/>
                <w:sz w:val="18"/>
              </w:rPr>
              <w:t>5.8 KB</w:t>
            </w:r>
          </w:p>
        </w:tc>
        <w:tc>
          <w:tcPr>
            <w:tcW w:type="dxa" w:w="3600"/>
            <w:shd w:val="clear" w:color="auto" w:fill="FFFFFF"/>
            <w:tcMar>
              <w:top w:w="80" w:type="dxa"/>
              <w:bottom w:w="80" w:type="dxa"/>
              <w:left w:w="120" w:type="dxa"/>
              <w:right w:w="120" w:type="dxa"/>
            </w:tcMar>
          </w:tcPr>
          <w:p>
            <w:pPr>
              <w:spacing w:before="40" w:after="40"/>
            </w:pPr>
            <w:r>
              <w:rPr>
                <w:rFonts w:ascii="Calibri" w:hAnsi="Calibri"/>
                <w:sz w:val="18"/>
              </w:rPr>
              <w:t>Concurrent judicial scraping from Indian Kanoon</w:t>
            </w:r>
          </w:p>
        </w:tc>
        <w:tc>
          <w:tcPr>
            <w:tcW w:type="dxa" w:w="2448"/>
            <w:shd w:val="clear" w:color="auto" w:fill="FFFFFF"/>
            <w:tcMar>
              <w:top w:w="80" w:type="dxa"/>
              <w:bottom w:w="80" w:type="dxa"/>
              <w:left w:w="120" w:type="dxa"/>
              <w:right w:w="120" w:type="dxa"/>
            </w:tcMar>
          </w:tcPr>
          <w:p>
            <w:pPr>
              <w:spacing w:before="40" w:after="40"/>
            </w:pPr>
            <w:r>
              <w:rPr>
                <w:rFonts w:ascii="Calibri" w:hAnsi="Calibri"/>
                <w:sz w:val="18"/>
              </w:rPr>
              <w:t>LiveWebSearcher, search_kanoon_concurrent</w:t>
            </w:r>
          </w:p>
        </w:tc>
      </w:tr>
      <w:tr>
        <w:tc>
          <w:tcPr>
            <w:tcW w:type="dxa" w:w="2160"/>
            <w:shd w:val="clear" w:color="auto" w:fill="F7F9FC"/>
            <w:tcMar>
              <w:top w:w="80" w:type="dxa"/>
              <w:bottom w:w="80" w:type="dxa"/>
              <w:left w:w="120" w:type="dxa"/>
              <w:right w:w="120" w:type="dxa"/>
            </w:tcMar>
          </w:tcPr>
          <w:p>
            <w:pPr>
              <w:spacing w:before="40" w:after="40"/>
            </w:pPr>
            <w:r>
              <w:rPr>
                <w:rFonts w:ascii="Calibri" w:hAnsi="Calibri"/>
                <w:sz w:val="18"/>
              </w:rPr>
              <w:t>trusted_sources.py</w:t>
            </w:r>
          </w:p>
        </w:tc>
        <w:tc>
          <w:tcPr>
            <w:tcW w:type="dxa" w:w="1152"/>
            <w:shd w:val="clear" w:color="auto" w:fill="F7F9FC"/>
            <w:tcMar>
              <w:top w:w="80" w:type="dxa"/>
              <w:bottom w:w="80" w:type="dxa"/>
              <w:left w:w="120" w:type="dxa"/>
              <w:right w:w="120" w:type="dxa"/>
            </w:tcMar>
          </w:tcPr>
          <w:p>
            <w:pPr>
              <w:spacing w:before="40" w:after="40"/>
            </w:pPr>
            <w:r>
              <w:rPr>
                <w:rFonts w:ascii="Calibri" w:hAnsi="Calibri"/>
                <w:sz w:val="18"/>
              </w:rPr>
              <w:t>5.1 KB</w:t>
            </w:r>
          </w:p>
        </w:tc>
        <w:tc>
          <w:tcPr>
            <w:tcW w:type="dxa" w:w="3600"/>
            <w:shd w:val="clear" w:color="auto" w:fill="F7F9FC"/>
            <w:tcMar>
              <w:top w:w="80" w:type="dxa"/>
              <w:bottom w:w="80" w:type="dxa"/>
              <w:left w:w="120" w:type="dxa"/>
              <w:right w:w="120" w:type="dxa"/>
            </w:tcMar>
          </w:tcPr>
          <w:p>
            <w:pPr>
              <w:spacing w:before="40" w:after="40"/>
            </w:pPr>
            <w:r>
              <w:rPr>
                <w:rFonts w:ascii="Calibri" w:hAnsi="Calibri"/>
                <w:sz w:val="18"/>
              </w:rPr>
              <w:t>Domain allowlist enforcement for government portals</w:t>
            </w:r>
          </w:p>
        </w:tc>
        <w:tc>
          <w:tcPr>
            <w:tcW w:type="dxa" w:w="2448"/>
            <w:shd w:val="clear" w:color="auto" w:fill="F7F9FC"/>
            <w:tcMar>
              <w:top w:w="80" w:type="dxa"/>
              <w:bottom w:w="80" w:type="dxa"/>
              <w:left w:w="120" w:type="dxa"/>
              <w:right w:w="120" w:type="dxa"/>
            </w:tcMar>
          </w:tcPr>
          <w:p>
            <w:pPr>
              <w:spacing w:before="40" w:after="40"/>
            </w:pPr>
            <w:r>
              <w:rPr>
                <w:rFonts w:ascii="Calibri" w:hAnsi="Calibri"/>
                <w:sz w:val="18"/>
              </w:rPr>
              <w:t>is_trusted_url, get_trusted_domain</w:t>
            </w:r>
          </w:p>
        </w:tc>
      </w:tr>
      <w:tr>
        <w:tc>
          <w:tcPr>
            <w:tcW w:type="dxa" w:w="2160"/>
            <w:shd w:val="clear" w:color="auto" w:fill="FFFFFF"/>
            <w:tcMar>
              <w:top w:w="80" w:type="dxa"/>
              <w:bottom w:w="80" w:type="dxa"/>
              <w:left w:w="120" w:type="dxa"/>
              <w:right w:w="120" w:type="dxa"/>
            </w:tcMar>
          </w:tcPr>
          <w:p>
            <w:pPr>
              <w:spacing w:before="40" w:after="40"/>
            </w:pPr>
            <w:r>
              <w:rPr>
                <w:rFonts w:ascii="Calibri" w:hAnsi="Calibri"/>
                <w:sz w:val="18"/>
              </w:rPr>
              <w:t>pdf_parser.py / ingestor.py</w:t>
            </w:r>
          </w:p>
        </w:tc>
        <w:tc>
          <w:tcPr>
            <w:tcW w:type="dxa" w:w="1152"/>
            <w:shd w:val="clear" w:color="auto" w:fill="FFFFFF"/>
            <w:tcMar>
              <w:top w:w="80" w:type="dxa"/>
              <w:bottom w:w="80" w:type="dxa"/>
              <w:left w:w="120" w:type="dxa"/>
              <w:right w:w="120" w:type="dxa"/>
            </w:tcMar>
          </w:tcPr>
          <w:p>
            <w:pPr>
              <w:spacing w:before="40" w:after="40"/>
            </w:pPr>
            <w:r>
              <w:rPr>
                <w:rFonts w:ascii="Calibri" w:hAnsi="Calibri"/>
                <w:sz w:val="18"/>
              </w:rPr>
              <w:t>8.4 KB</w:t>
            </w:r>
          </w:p>
        </w:tc>
        <w:tc>
          <w:tcPr>
            <w:tcW w:type="dxa" w:w="3600"/>
            <w:shd w:val="clear" w:color="auto" w:fill="FFFFFF"/>
            <w:tcMar>
              <w:top w:w="80" w:type="dxa"/>
              <w:bottom w:w="80" w:type="dxa"/>
              <w:left w:w="120" w:type="dxa"/>
              <w:right w:w="120" w:type="dxa"/>
            </w:tcMar>
          </w:tcPr>
          <w:p>
            <w:pPr>
              <w:spacing w:before="40" w:after="40"/>
            </w:pPr>
            <w:r>
              <w:rPr>
                <w:rFonts w:ascii="Calibri" w:hAnsi="Calibri"/>
                <w:sz w:val="18"/>
              </w:rPr>
              <w:t>PDF extraction, cleaning, and metadata generation</w:t>
            </w:r>
          </w:p>
        </w:tc>
        <w:tc>
          <w:tcPr>
            <w:tcW w:type="dxa" w:w="2448"/>
            <w:shd w:val="clear" w:color="auto" w:fill="FFFFFF"/>
            <w:tcMar>
              <w:top w:w="80" w:type="dxa"/>
              <w:bottom w:w="80" w:type="dxa"/>
              <w:left w:w="120" w:type="dxa"/>
              <w:right w:w="120" w:type="dxa"/>
            </w:tcMar>
          </w:tcPr>
          <w:p>
            <w:pPr>
              <w:spacing w:before="40" w:after="40"/>
            </w:pPr>
            <w:r>
              <w:rPr>
                <w:rFonts w:ascii="Calibri" w:hAnsi="Calibri"/>
                <w:sz w:val="18"/>
              </w:rPr>
              <w:t>PDFParser, ingest_pdf_to_corpus</w:t>
            </w:r>
          </w:p>
        </w:tc>
      </w:tr>
      <w:tr>
        <w:tc>
          <w:tcPr>
            <w:tcW w:type="dxa" w:w="2160"/>
            <w:shd w:val="clear" w:color="auto" w:fill="F7F9FC"/>
            <w:tcMar>
              <w:top w:w="80" w:type="dxa"/>
              <w:bottom w:w="80" w:type="dxa"/>
              <w:left w:w="120" w:type="dxa"/>
              <w:right w:w="120" w:type="dxa"/>
            </w:tcMar>
          </w:tcPr>
          <w:p>
            <w:pPr>
              <w:spacing w:before="40" w:after="40"/>
            </w:pPr>
            <w:r>
              <w:rPr>
                <w:rFonts w:ascii="Calibri" w:hAnsi="Calibri"/>
                <w:sz w:val="18"/>
              </w:rPr>
              <w:t>app.py</w:t>
            </w:r>
          </w:p>
        </w:tc>
        <w:tc>
          <w:tcPr>
            <w:tcW w:type="dxa" w:w="1152"/>
            <w:shd w:val="clear" w:color="auto" w:fill="F7F9FC"/>
            <w:tcMar>
              <w:top w:w="80" w:type="dxa"/>
              <w:bottom w:w="80" w:type="dxa"/>
              <w:left w:w="120" w:type="dxa"/>
              <w:right w:w="120" w:type="dxa"/>
            </w:tcMar>
          </w:tcPr>
          <w:p>
            <w:pPr>
              <w:spacing w:before="40" w:after="40"/>
            </w:pPr>
            <w:r>
              <w:rPr>
                <w:rFonts w:ascii="Calibri" w:hAnsi="Calibri"/>
                <w:sz w:val="18"/>
              </w:rPr>
              <w:t>133.0 KB</w:t>
            </w:r>
          </w:p>
        </w:tc>
        <w:tc>
          <w:tcPr>
            <w:tcW w:type="dxa" w:w="3600"/>
            <w:shd w:val="clear" w:color="auto" w:fill="F7F9FC"/>
            <w:tcMar>
              <w:top w:w="80" w:type="dxa"/>
              <w:bottom w:w="80" w:type="dxa"/>
              <w:left w:w="120" w:type="dxa"/>
              <w:right w:w="120" w:type="dxa"/>
            </w:tcMar>
          </w:tcPr>
          <w:p>
            <w:pPr>
              <w:spacing w:before="40" w:after="40"/>
            </w:pPr>
            <w:r>
              <w:rPr>
                <w:rFonts w:ascii="Calibri" w:hAnsi="Calibri"/>
                <w:sz w:val="18"/>
              </w:rPr>
              <w:t>Streamlit research interface with stage visualizers</w:t>
            </w:r>
          </w:p>
        </w:tc>
        <w:tc>
          <w:tcPr>
            <w:tcW w:type="dxa" w:w="2448"/>
            <w:shd w:val="clear" w:color="auto" w:fill="F7F9FC"/>
            <w:tcMar>
              <w:top w:w="80" w:type="dxa"/>
              <w:bottom w:w="80" w:type="dxa"/>
              <w:left w:w="120" w:type="dxa"/>
              <w:right w:w="120" w:type="dxa"/>
            </w:tcMar>
          </w:tcPr>
          <w:p>
            <w:pPr>
              <w:spacing w:before="40" w:after="40"/>
            </w:pPr>
            <w:r>
              <w:rPr>
                <w:rFonts w:ascii="Calibri" w:hAnsi="Calibri"/>
                <w:sz w:val="18"/>
              </w:rPr>
              <w:t>main, render_audit_trail, render_memo_export</w:t>
            </w:r>
          </w:p>
        </w:tc>
      </w:tr>
    </w:tbl>
    <w:p>
      <w:pPr>
        <w:spacing w:before="0" w:after="120"/>
      </w:pPr>
    </w:p>
    <w:p>
      <w:pPr>
        <w:pStyle w:val="Heading2"/>
        <w:spacing w:before="200" w:after="80"/>
      </w:pPr>
      <w:r>
        <w:t>6.2 Key Algorithmic Code Realizations</w:t>
      </w:r>
    </w:p>
    <w:p>
      <w:pPr>
        <w:spacing w:before="0" w:after="100" w:line="276" w:lineRule="auto"/>
      </w:pPr>
      <w:r>
        <w:t>Below are the critical algorithmic implementations powering NyayaRoute's evidence-gated agentic pipeline.</w:t>
      </w:r>
    </w:p>
    <w:p>
      <w:pPr>
        <w:pStyle w:val="Heading3"/>
        <w:spacing w:before="160" w:after="60"/>
      </w:pPr>
      <w:r>
        <w:t>6.2.1 Stage 1 &amp; 2: Query Analysis, Classification, and Entity Expansion</w:t>
      </w: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00" w:type="dxa"/>
              <w:bottom w:w="100" w:type="dxa"/>
              <w:left w:w="150" w:type="dxa"/>
              <w:right w:w="150" w:type="dxa"/>
            </w:tcMar>
            <w:tcBorders>
              <w:left w:val="single" w:sz="24" w:space="0" w:color="0A192F"/>
              <w:top w:val="none"/>
              <w:bottom w:val="none"/>
              <w:right w:val="none"/>
            </w:tcBorders>
          </w:tcPr>
          <w:p>
            <w:pPr>
              <w:spacing w:before="40" w:after="40" w:line="252" w:lineRule="auto"/>
            </w:pPr>
            <w:r>
              <w:rPr>
                <w:rFonts w:ascii="Consolas" w:hAnsi="Consolas"/>
                <w:color w:val="1B2A4A"/>
                <w:sz w:val="16"/>
              </w:rPr>
              <w:t># From rag_engine.py: Stage 1 &amp; 2 Query Analysis and Expansion</w:t>
              <w:br/>
              <w:t>def analyze_legal_query(query: str) -&gt; dict[str, Any]:</w:t>
              <w:br/>
              <w:t xml:space="preserve">    """Classifies legal query intent and extracts statutory citations."""</w:t>
              <w:br/>
              <w:t xml:space="preserve">    q_lower = query.lower()</w:t>
              <w:br/>
              <w:t xml:space="preserve">    intent = "conceptual"</w:t>
              <w:br/>
              <w:t xml:space="preserve">    citations = []</w:t>
              <w:br/>
              <w:t xml:space="preserve">    </w:t>
              <w:br/>
              <w:t xml:space="preserve">    # Exact citation detection</w:t>
              <w:br/>
              <w:t xml:space="preserve">    section_match = re.findall(r'\b(?:section|sec\.?|s\.?)\s*(\d+[a-z]?)', q_lower)</w:t>
              <w:br/>
              <w:t xml:space="preserve">    article_match = re.findall(r'\b(?:article|art\.?)\s*(\d+[a-z]?)', q_lower)</w:t>
              <w:br/>
              <w:t xml:space="preserve">    if section_match:</w:t>
              <w:br/>
              <w:t xml:space="preserve">        intent = "exact_citation"</w:t>
              <w:br/>
              <w:t xml:space="preserve">        citations.extend([f"Section {s.upper()}" for s in section_match])</w:t>
              <w:br/>
              <w:t xml:space="preserve">    elif article_match:</w:t>
              <w:br/>
              <w:t xml:space="preserve">        intent = "exact_citation"</w:t>
              <w:br/>
              <w:t xml:space="preserve">        citations.extend([f"Article {a.upper()}" for a in article_match])</w:t>
              <w:br/>
              <w:t xml:space="preserve">        </w:t>
              <w:br/>
              <w:t xml:space="preserve">    return {"intent": intent, "citations": citations, "terms": _tokens(query)}</w:t>
              <w:br/>
              <w:br/>
              <w:t>def reformulate_legal_query(query: str) -&gt; str:</w:t>
              <w:br/>
              <w:t xml:space="preserve">    """Expands statutory abbreviations using negative lookaheads to avoid loops."""</w:t>
              <w:br/>
              <w:t xml:space="preserve">    expansions = [</w:t>
              <w:br/>
              <w:t xml:space="preserve">        (r'\bipc\b(?!\s*\(?indian penal code)', 'Indian Penal Code 1860'),</w:t>
              <w:br/>
              <w:t xml:space="preserve">        (r'\bcrpc\b(?!\s*\(?code of criminal procedure)', 'Code of Criminal Procedure 1973'),</w:t>
              <w:br/>
              <w:t xml:space="preserve">        (r'\bit act\b(?!\s*\(?information technology act)', 'Information Technology Act 2000'),</w:t>
              <w:br/>
              <w:t xml:space="preserve">        (r'\bcpc\b(?!\s*\(?code of civil procedure)', 'Code of Civil Procedure 1908'),</w:t>
              <w:br/>
              <w:t xml:space="preserve">    ]</w:t>
              <w:br/>
              <w:t xml:space="preserve">    reformed = query</w:t>
              <w:br/>
              <w:t xml:space="preserve">    for pattern, replacement in expansions:</w:t>
              <w:br/>
              <w:t xml:space="preserve">        reformed = re.sub(pattern, replacement, reformed, flags=re.IGNORECASE)</w:t>
              <w:br/>
              <w:t xml:space="preserve">    return reformed</w:t>
            </w:r>
          </w:p>
        </w:tc>
      </w:tr>
    </w:tbl>
    <w:p>
      <w:pPr>
        <w:spacing w:before="60" w:after="160"/>
        <w:jc w:val="center"/>
      </w:pPr>
      <w:r>
        <w:rPr>
          <w:rFonts w:ascii="Calibri" w:hAnsi="Calibri"/>
          <w:i/>
          <w:color w:val="555555"/>
          <w:sz w:val="18"/>
        </w:rPr>
        <w:t>Listing: Stage 1 Query Analysis and Stage 2 Negative-Lookahead Acronym Reformulation (rag_engine.py)</w:t>
      </w:r>
    </w:p>
    <w:p>
      <w:pPr>
        <w:pStyle w:val="Heading3"/>
        <w:spacing w:before="160" w:after="60"/>
      </w:pPr>
      <w:r>
        <w:t>6.2.2 Stage 3: Tri-Modal Adaptive Routing and Reciprocal Rank Fusion</w:t>
      </w: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00" w:type="dxa"/>
              <w:bottom w:w="100" w:type="dxa"/>
              <w:left w:w="150" w:type="dxa"/>
              <w:right w:w="150" w:type="dxa"/>
            </w:tcMar>
            <w:tcBorders>
              <w:left w:val="single" w:sz="24" w:space="0" w:color="0A192F"/>
              <w:top w:val="none"/>
              <w:bottom w:val="none"/>
              <w:right w:val="none"/>
            </w:tcBorders>
          </w:tcPr>
          <w:p>
            <w:pPr>
              <w:spacing w:before="40" w:after="40" w:line="252" w:lineRule="auto"/>
            </w:pPr>
            <w:r>
              <w:rPr>
                <w:rFonts w:ascii="Consolas" w:hAnsi="Consolas"/>
                <w:color w:val="1B2A4A"/>
                <w:sz w:val="16"/>
              </w:rPr>
              <w:t># From rag_engine.py: Stage 3 Adaptive Tri-Modal Routing and RRF Fusion</w:t>
              <w:br/>
              <w:t>def route_retrieval(query: str, analysis: dict[str, Any]) -&gt; str:</w:t>
              <w:br/>
              <w:t xml:space="preserve">    """Selects optimal retrieval engine based on query structural complexity."""</w:t>
              <w:br/>
              <w:t xml:space="preserve">    tokens = _tokens(query)</w:t>
              <w:br/>
              <w:t xml:space="preserve">    has_citation = analysis.get("intent") == "exact_citation"</w:t>
              <w:br/>
              <w:t xml:space="preserve">    </w:t>
              <w:br/>
              <w:t xml:space="preserve">    if has_citation and len(tokens) &lt;= 8:</w:t>
              <w:br/>
              <w:t xml:space="preserve">        return "BM25 (Sparse)"       # Exact keyword &amp; section matching</w:t>
              <w:br/>
              <w:t xml:space="preserve">    elif not has_citation and len(tokens) &gt; 8:</w:t>
              <w:br/>
              <w:t xml:space="preserve">        return "Dense Semantic"      # Situational narrative embedding</w:t>
              <w:br/>
              <w:t xml:space="preserve">    else:</w:t>
              <w:br/>
              <w:t xml:space="preserve">        return "Hybrid Retrieval"    # RRF fusion of lexical + dense</w:t>
              <w:br/>
              <w:br/>
              <w:t>def reciprocal_rank_fusion(bm25_ranks: list[Entry], dense_ranks: list[Entry], k: int = 60) -&gt; list[Entry]:</w:t>
              <w:br/>
              <w:t xml:space="preserve">    """Combines sparse and dense rank lists via Reciprocal Rank Fusion."""</w:t>
              <w:br/>
              <w:t xml:space="preserve">    scores = {}</w:t>
              <w:br/>
              <w:t xml:space="preserve">    entry_map = {}</w:t>
              <w:br/>
              <w:t xml:space="preserve">    for rank, entry in enumerate(bm25_ranks):</w:t>
              <w:br/>
              <w:t xml:space="preserve">        scores[entry.doc_id] = scores.get(entry.doc_id, 0.0) + (1.0 / (k + rank + 1))</w:t>
              <w:br/>
              <w:t xml:space="preserve">        entry_map[entry.doc_id] = entry</w:t>
              <w:br/>
              <w:t xml:space="preserve">    for rank, entry in enumerate(dense_ranks):</w:t>
              <w:br/>
              <w:t xml:space="preserve">        scores[entry.doc_id] = scores.get(entry.doc_id, 0.0) + (1.0 / (k + rank + 1))</w:t>
              <w:br/>
              <w:t xml:space="preserve">        entry_map[entry.doc_id] = entry</w:t>
              <w:br/>
              <w:t xml:space="preserve">    sorted_ids = sorted(scores.keys(), key=lambda x: scores[x], reverse=True)</w:t>
              <w:br/>
              <w:t xml:space="preserve">    return [entry_map[doc_id] for doc_id in sorted_ids]</w:t>
            </w:r>
          </w:p>
        </w:tc>
      </w:tr>
    </w:tbl>
    <w:p>
      <w:pPr>
        <w:spacing w:before="60" w:after="160"/>
        <w:jc w:val="center"/>
      </w:pPr>
      <w:r>
        <w:rPr>
          <w:rFonts w:ascii="Calibri" w:hAnsi="Calibri"/>
          <w:i/>
          <w:color w:val="555555"/>
          <w:sz w:val="18"/>
        </w:rPr>
        <w:t>Listing: Stage 3 Adaptive Routing Decision Logic and Reciprocal Rank Fusion (rag_engine.py)</w:t>
      </w:r>
    </w:p>
    <w:p>
      <w:pPr>
        <w:pStyle w:val="Heading3"/>
        <w:spacing w:before="160" w:after="60"/>
      </w:pPr>
      <w:r>
        <w:t>6.2.3 Stage 4 &amp; 5: Neural Cross-Encoder Reranking and Pre-Generation Evidence Gate</w:t>
      </w: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00" w:type="dxa"/>
              <w:bottom w:w="100" w:type="dxa"/>
              <w:left w:w="150" w:type="dxa"/>
              <w:right w:w="150" w:type="dxa"/>
            </w:tcMar>
            <w:tcBorders>
              <w:left w:val="single" w:sz="24" w:space="0" w:color="0A192F"/>
              <w:top w:val="none"/>
              <w:bottom w:val="none"/>
              <w:right w:val="none"/>
            </w:tcBorders>
          </w:tcPr>
          <w:p>
            <w:pPr>
              <w:spacing w:before="40" w:after="40" w:line="252" w:lineRule="auto"/>
            </w:pPr>
            <w:r>
              <w:rPr>
                <w:rFonts w:ascii="Consolas" w:hAnsi="Consolas"/>
                <w:color w:val="1B2A4A"/>
                <w:sz w:val="16"/>
              </w:rPr>
              <w:t># From rag_engine.py: Stage 4 Neural Reranking and Stage 5 Evidence Gating</w:t>
              <w:br/>
              <w:t>def rerank_evidence(query: str, candidates: list[Entry], cross_encoder) -&gt; list[tuple[Entry, float]]:</w:t>
              <w:br/>
              <w:t xml:space="preserve">    """Scores candidate passages via cross-attention neural cross-encoder."""</w:t>
              <w:br/>
              <w:t xml:space="preserve">    pairs = [[query, f"{c.title}: {c.text}"] for c in candidates]</w:t>
              <w:br/>
              <w:t xml:space="preserve">    logits = cross_encoder.predict(pairs)</w:t>
              <w:br/>
              <w:t xml:space="preserve">    scored = list(zip(candidates, [float(s) for s in logits]))</w:t>
              <w:br/>
              <w:t xml:space="preserve">    return sorted(scored, key=lambda x: x[1], reverse=True)</w:t>
              <w:br/>
              <w:br/>
              <w:t xml:space="preserve">def evidence_sufficiency_gate(query: str, scored_passages: list[tuple[Entry, float]], </w:t>
              <w:br/>
              <w:t xml:space="preserve">                             analysis: dict[str, Any], tau: float = 0.15) -&gt; bool:</w:t>
              <w:br/>
              <w:t xml:space="preserve">    """Enforces pre-generation quality firewall. Rejects ungrounded context."""</w:t>
              <w:br/>
              <w:t xml:space="preserve">    if not scored_passages:</w:t>
              <w:br/>
              <w:t xml:space="preserve">        return False</w:t>
              <w:br/>
              <w:t xml:space="preserve">        </w:t>
              <w:br/>
              <w:t xml:space="preserve">    top_score = scored_passages[0][1]</w:t>
              <w:br/>
              <w:t xml:space="preserve">    if top_score &lt; tau:</w:t>
              <w:br/>
              <w:t xml:space="preserve">        return False  # Failed minimum neural semantic threshold</w:t>
              <w:br/>
              <w:t xml:space="preserve">        </w:t>
              <w:br/>
              <w:t xml:space="preserve">    # Check statutory citation presence in top-8 passages</w:t>
              <w:br/>
              <w:t xml:space="preserve">    required_citations = analysis.get("citations", [])</w:t>
              <w:br/>
              <w:t xml:space="preserve">    if required_citations:</w:t>
              <w:br/>
              <w:t xml:space="preserve">        top8_text = " ".join([f"{e.title} {e.text}".lower() for e, _ in scored_passages[:8]])</w:t>
              <w:br/>
              <w:t xml:space="preserve">        citation_found = any(c.lower() in top8_text for c in required_citations)</w:t>
              <w:br/>
              <w:t xml:space="preserve">        if not citation_found:</w:t>
              <w:br/>
              <w:t xml:space="preserve">            return False  # Failed primary statutory authority verification</w:t>
              <w:br/>
              <w:t xml:space="preserve">            </w:t>
              <w:br/>
              <w:t xml:space="preserve">    return True  # Passed: Context is authoritatively grounded</w:t>
            </w:r>
          </w:p>
        </w:tc>
      </w:tr>
    </w:tbl>
    <w:p>
      <w:pPr>
        <w:spacing w:before="60" w:after="160"/>
        <w:jc w:val="center"/>
      </w:pPr>
      <w:r>
        <w:rPr>
          <w:rFonts w:ascii="Calibri" w:hAnsi="Calibri"/>
          <w:i/>
          <w:color w:val="555555"/>
          <w:sz w:val="18"/>
        </w:rPr>
        <w:t>Listing: Stage 4 Cross-Encoder Scoring and Stage 5 Pre-Generation Evidence Sufficiency Gate (rag_engine.py)</w:t>
      </w:r>
    </w:p>
    <w:p>
      <w:pPr>
        <w:pStyle w:val="Heading2"/>
        <w:spacing w:before="200" w:after="80"/>
      </w:pPr>
      <w:r>
        <w:t>6.3 Critical Engineering Overcomes During System Realization</w:t>
      </w:r>
    </w:p>
    <w:p>
      <w:pPr>
        <w:spacing w:before="0" w:after="100" w:line="276" w:lineRule="auto"/>
      </w:pPr>
      <w:r>
        <w:t>During the realization and empirical evaluation of NyayaRoute, several subtle failure modes were encountered and resolved:</w:t>
        <w:br/>
        <w:t>1. Document Classifier Misclassification: In chunker.py, legislation containing Roman numerals (e.g., 'Part II: Due Diligence') was originally misclassified as Constitutional Articles due to greedy regex patterns. Fixed by enforcing a strict statutory hierarchy and verifying document header context.</w:t>
        <w:br/>
        <w:t>2. Infinite Recursive Acronym Loops: In Stage 2, running regex expansion on queries like 'IPC' repeatedly expanded 'IPC' into 'Indian Penal Code 1860 (Indian Penal Code 1860)'. Resolved by introducing negative lookahead assertions in the regex.</w:t>
        <w:br/>
        <w:t>3. Route Synchronization Bug: The router originally routed queries using raw unexpanded text, causing abbreviations to be misrouted. Synchronized to evaluate the expanded, enriched query.</w:t>
        <w:br/>
        <w:t>4. Primary Citation Verification Window: The evidence gate originally examined only the top 3 passages. If a relevant citation appeared at rank 4 or 5, it caused false-positive retries. The citation evaluation window was widened to the top 8 passages.</w:t>
        <w:br/>
        <w:t>5. Automated Path &amp; Virtual Environment Portability: Added automated path anchoring in rag_engine.py and faiss_store.py to locate .venv site-packages regardless of current working directory.</w:t>
      </w:r>
    </w:p>
    <w:p>
      <w:pPr>
        <w:pStyle w:val="Heading1"/>
        <w:spacing w:before="280" w:after="120"/>
      </w:pPr>
      <w:r>
        <w:t>CHAPTER 7: USER INTERFACE, RESEARCH WORKSPACE &amp; VISUAL VERIFICATION</w:t>
      </w:r>
    </w:p>
    <w:p>
      <w:pPr>
        <w:spacing w:before="0" w:after="100" w:line="276" w:lineRule="auto"/>
      </w:pPr>
      <w:r>
        <w:t>NyayaRoute provides a state-of-the-art judicial research workspace implemented via Streamlit. Designed specifically for legal professionals, advocates, and academic researchers, the interface delivers complete transparency over every reasoning stage, providing interactive visual verification rather than black-box text generation.</w:t>
      </w:r>
    </w:p>
    <w:p>
      <w:pPr>
        <w:pStyle w:val="Heading2"/>
        <w:spacing w:before="200" w:after="80"/>
      </w:pPr>
      <w:r>
        <w:t>7.1 Interface Design Philosophy &amp; Visual Palette</w:t>
      </w:r>
    </w:p>
    <w:p>
      <w:pPr>
        <w:spacing w:before="0" w:after="100" w:line="276" w:lineRule="auto"/>
      </w:pPr>
      <w:r>
        <w:t>The interface adheres to modern legal design principles:</w:t>
        <w:br/>
        <w:t>• Deep Navy (#0A192F) and Legal Gold (#D4AF37) Theme: Communicates authority, trust, and readability.</w:t>
        <w:br/>
        <w:t>• Responsive Metrics Cards: Displays query latency, retrieval route, confidence score, and citation count in real-time.</w:t>
        <w:br/>
        <w:t>• Stage-by-Stage Collapsible Audit Trail: Users can inspect Query Analysis, Reformulation Diff, Reranker Distribution, and Evidence Sufficiency decisions.</w:t>
        <w:br/>
        <w:t>• Interactive Knowledge Base Manager: Allows live document ingestion, URL registration, and real-time FAISS index inspection.</w:t>
      </w:r>
    </w:p>
    <w:p>
      <w:pPr>
        <w:pStyle w:val="Heading2"/>
        <w:spacing w:before="200" w:after="80"/>
      </w:pPr>
      <w:r>
        <w:t>7.2 User Interface Realization &amp; Screenshots</w:t>
      </w:r>
    </w:p>
    <w:p>
      <w:pPr>
        <w:spacing w:before="0" w:after="100" w:line="276" w:lineRule="auto"/>
      </w:pPr>
      <w:r>
        <w:t>The following figures document the realized user interface across core operational scenarios.</w:t>
      </w:r>
    </w:p>
    <w:p>
      <w:pPr>
        <w:spacing w:before="160" w:after="40"/>
        <w:jc w:val="center"/>
      </w:pPr>
      <w:r>
        <w:drawing>
          <wp:inline xmlns:a="http://schemas.openxmlformats.org/drawingml/2006/main" xmlns:pic="http://schemas.openxmlformats.org/drawingml/2006/picture">
            <wp:extent cx="5303520" cy="2237422"/>
            <wp:docPr id="1" name="Picture 1"/>
            <wp:cNvGraphicFramePr>
              <a:graphicFrameLocks noChangeAspect="1"/>
            </wp:cNvGraphicFramePr>
            <a:graphic>
              <a:graphicData uri="http://schemas.openxmlformats.org/drawingml/2006/picture">
                <pic:pic>
                  <pic:nvPicPr>
                    <pic:cNvPr id="0" name="media_1792315509024_07134e9c.png"/>
                    <pic:cNvPicPr/>
                  </pic:nvPicPr>
                  <pic:blipFill>
                    <a:blip r:embed="rId9"/>
                    <a:stretch>
                      <a:fillRect/>
                    </a:stretch>
                  </pic:blipFill>
                  <pic:spPr>
                    <a:xfrm>
                      <a:off x="0" y="0"/>
                      <a:ext cx="5303520" cy="2237422"/>
                    </a:xfrm>
                    <a:prstGeom prst="rect"/>
                  </pic:spPr>
                </pic:pic>
              </a:graphicData>
            </a:graphic>
          </wp:inline>
        </w:drawing>
      </w:r>
    </w:p>
    <w:p>
      <w:pPr>
        <w:spacing w:before="40" w:after="200"/>
        <w:jc w:val="center"/>
      </w:pPr>
      <w:r>
        <w:rPr>
          <w:rFonts w:ascii="Calibri" w:hAnsi="Calibri"/>
          <w:b/>
          <w:i/>
          <w:color w:val="333333"/>
          <w:sz w:val="18"/>
        </w:rPr>
        <w:t>Figure: NyayaRoute Legal Research Interface - Application Header and Query Input Workspace</w:t>
      </w:r>
    </w:p>
    <w:p>
      <w:pPr>
        <w:spacing w:before="0" w:after="100" w:line="276" w:lineRule="auto"/>
      </w:pPr>
      <w:r>
        <w:t>Figure 7.1 illustrates the primary research interface. Users can input natural language legal queries, toggle live Indian Kanoon precedent scraping, and select between Standard Research and Strict Evidence-Gated modes.</w:t>
      </w:r>
    </w:p>
    <w:p>
      <w:pPr>
        <w:spacing w:before="160" w:after="40"/>
        <w:jc w:val="center"/>
      </w:pPr>
      <w:r>
        <w:drawing>
          <wp:inline xmlns:a="http://schemas.openxmlformats.org/drawingml/2006/main" xmlns:pic="http://schemas.openxmlformats.org/drawingml/2006/picture">
            <wp:extent cx="5303520" cy="2677656"/>
            <wp:docPr id="2" name="Picture 2"/>
            <wp:cNvGraphicFramePr>
              <a:graphicFrameLocks noChangeAspect="1"/>
            </wp:cNvGraphicFramePr>
            <a:graphic>
              <a:graphicData uri="http://schemas.openxmlformats.org/drawingml/2006/picture">
                <pic:pic>
                  <pic:nvPicPr>
                    <pic:cNvPr id="0" name="media_1793106693346_0ad67115.png"/>
                    <pic:cNvPicPr/>
                  </pic:nvPicPr>
                  <pic:blipFill>
                    <a:blip r:embed="rId10"/>
                    <a:stretch>
                      <a:fillRect/>
                    </a:stretch>
                  </pic:blipFill>
                  <pic:spPr>
                    <a:xfrm>
                      <a:off x="0" y="0"/>
                      <a:ext cx="5303520" cy="2677656"/>
                    </a:xfrm>
                    <a:prstGeom prst="rect"/>
                  </pic:spPr>
                </pic:pic>
              </a:graphicData>
            </a:graphic>
          </wp:inline>
        </w:drawing>
      </w:r>
    </w:p>
    <w:p>
      <w:pPr>
        <w:spacing w:before="40" w:after="200"/>
        <w:jc w:val="center"/>
      </w:pPr>
      <w:r>
        <w:rPr>
          <w:rFonts w:ascii="Calibri" w:hAnsi="Calibri"/>
          <w:b/>
          <w:i/>
          <w:color w:val="333333"/>
          <w:sz w:val="18"/>
        </w:rPr>
        <w:t>Figure: NyayaRoute Knowledge Base Manager - Source URL Ingestion and Document Verification</w:t>
      </w:r>
    </w:p>
    <w:p>
      <w:pPr>
        <w:spacing w:before="0" w:after="100" w:line="276" w:lineRule="auto"/>
      </w:pPr>
      <w:r>
        <w:t>Figure 7.2 demonstrates the Knowledge Base Management panel. Users can add trusted government source URLs, upload official gazette PDFs, and view active corpus statistics (1,416 records across statutes and Supreme Court judgments).</w:t>
      </w:r>
    </w:p>
    <w:p>
      <w:pPr>
        <w:spacing w:before="160" w:after="40"/>
        <w:jc w:val="center"/>
      </w:pPr>
      <w:r>
        <w:drawing>
          <wp:inline xmlns:a="http://schemas.openxmlformats.org/drawingml/2006/main" xmlns:pic="http://schemas.openxmlformats.org/drawingml/2006/picture">
            <wp:extent cx="5303520" cy="2615505"/>
            <wp:docPr id="3" name="Picture 3"/>
            <wp:cNvGraphicFramePr>
              <a:graphicFrameLocks noChangeAspect="1"/>
            </wp:cNvGraphicFramePr>
            <a:graphic>
              <a:graphicData uri="http://schemas.openxmlformats.org/drawingml/2006/picture">
                <pic:pic>
                  <pic:nvPicPr>
                    <pic:cNvPr id="0" name="media_1792316269844_b695da6a.png"/>
                    <pic:cNvPicPr/>
                  </pic:nvPicPr>
                  <pic:blipFill>
                    <a:blip r:embed="rId11"/>
                    <a:stretch>
                      <a:fillRect/>
                    </a:stretch>
                  </pic:blipFill>
                  <pic:spPr>
                    <a:xfrm>
                      <a:off x="0" y="0"/>
                      <a:ext cx="5303520" cy="2615505"/>
                    </a:xfrm>
                    <a:prstGeom prst="rect"/>
                  </pic:spPr>
                </pic:pic>
              </a:graphicData>
            </a:graphic>
          </wp:inline>
        </w:drawing>
      </w:r>
    </w:p>
    <w:p>
      <w:pPr>
        <w:spacing w:before="40" w:after="200"/>
        <w:jc w:val="center"/>
      </w:pPr>
      <w:r>
        <w:rPr>
          <w:rFonts w:ascii="Calibri" w:hAnsi="Calibri"/>
          <w:b/>
          <w:i/>
          <w:color w:val="333333"/>
          <w:sz w:val="18"/>
        </w:rPr>
        <w:t>Figure: NyayaRoute Grounded Legal Answer Synthesis with In-Line Authority Citations [S1], [S2]</w:t>
      </w:r>
    </w:p>
    <w:p>
      <w:pPr>
        <w:spacing w:before="0" w:after="100" w:line="276" w:lineRule="auto"/>
      </w:pPr>
      <w:r>
        <w:t>Figure 7.3 displays the generated legal research brief. Statements of law are strictly anchored to authoritative sources with explicit superscript citation anchors ([S1], [S2]) linked directly to retrieved statutory sections.</w:t>
      </w:r>
    </w:p>
    <w:p>
      <w:pPr>
        <w:spacing w:before="160" w:after="40"/>
        <w:jc w:val="center"/>
      </w:pPr>
      <w:r>
        <w:drawing>
          <wp:inline xmlns:a="http://schemas.openxmlformats.org/drawingml/2006/main" xmlns:pic="http://schemas.openxmlformats.org/drawingml/2006/picture">
            <wp:extent cx="5303520" cy="3205936"/>
            <wp:docPr id="4" name="Picture 4"/>
            <wp:cNvGraphicFramePr>
              <a:graphicFrameLocks noChangeAspect="1"/>
            </wp:cNvGraphicFramePr>
            <a:graphic>
              <a:graphicData uri="http://schemas.openxmlformats.org/drawingml/2006/picture">
                <pic:pic>
                  <pic:nvPicPr>
                    <pic:cNvPr id="0" name="media_1793107144528_68611f4f.png"/>
                    <pic:cNvPicPr/>
                  </pic:nvPicPr>
                  <pic:blipFill>
                    <a:blip r:embed="rId12"/>
                    <a:stretch>
                      <a:fillRect/>
                    </a:stretch>
                  </pic:blipFill>
                  <pic:spPr>
                    <a:xfrm>
                      <a:off x="0" y="0"/>
                      <a:ext cx="5303520" cy="3205936"/>
                    </a:xfrm>
                    <a:prstGeom prst="rect"/>
                  </pic:spPr>
                </pic:pic>
              </a:graphicData>
            </a:graphic>
          </wp:inline>
        </w:drawing>
      </w:r>
    </w:p>
    <w:p>
      <w:pPr>
        <w:spacing w:before="40" w:after="200"/>
        <w:jc w:val="center"/>
      </w:pPr>
      <w:r>
        <w:rPr>
          <w:rFonts w:ascii="Calibri" w:hAnsi="Calibri"/>
          <w:b/>
          <w:i/>
          <w:color w:val="333333"/>
          <w:sz w:val="18"/>
        </w:rPr>
        <w:t>Figure: NyayaRoute Transparent 7-Stage Audit Trail - Neural Reranker Scores and Sufficiency Status</w:t>
      </w:r>
    </w:p>
    <w:p>
      <w:pPr>
        <w:spacing w:before="0" w:after="100" w:line="276" w:lineRule="auto"/>
      </w:pPr>
      <w:r>
        <w:t>Figure 7.4 showcases the collapsible 7-stage audit trail. The panel displays the exact reranking score distribution across passages, the evidence gate status (PASS/FAIL), and whether the autonomous retry mechanism was triggered.</w:t>
      </w:r>
    </w:p>
    <w:p>
      <w:pPr>
        <w:spacing w:before="160" w:after="40"/>
        <w:jc w:val="center"/>
      </w:pPr>
      <w:r>
        <w:drawing>
          <wp:inline xmlns:a="http://schemas.openxmlformats.org/drawingml/2006/main" xmlns:pic="http://schemas.openxmlformats.org/drawingml/2006/picture">
            <wp:extent cx="5303520" cy="1895594"/>
            <wp:docPr id="5" name="Picture 5"/>
            <wp:cNvGraphicFramePr>
              <a:graphicFrameLocks noChangeAspect="1"/>
            </wp:cNvGraphicFramePr>
            <a:graphic>
              <a:graphicData uri="http://schemas.openxmlformats.org/drawingml/2006/picture">
                <pic:pic>
                  <pic:nvPicPr>
                    <pic:cNvPr id="0" name="media_1793103823598_427e04dc.png"/>
                    <pic:cNvPicPr/>
                  </pic:nvPicPr>
                  <pic:blipFill>
                    <a:blip r:embed="rId13"/>
                    <a:stretch>
                      <a:fillRect/>
                    </a:stretch>
                  </pic:blipFill>
                  <pic:spPr>
                    <a:xfrm>
                      <a:off x="0" y="0"/>
                      <a:ext cx="5303520" cy="1895594"/>
                    </a:xfrm>
                    <a:prstGeom prst="rect"/>
                  </pic:spPr>
                </pic:pic>
              </a:graphicData>
            </a:graphic>
          </wp:inline>
        </w:drawing>
      </w:r>
    </w:p>
    <w:p>
      <w:pPr>
        <w:spacing w:before="40" w:after="200"/>
        <w:jc w:val="center"/>
      </w:pPr>
      <w:r>
        <w:rPr>
          <w:rFonts w:ascii="Calibri" w:hAnsi="Calibri"/>
          <w:b/>
          <w:i/>
          <w:color w:val="333333"/>
          <w:sz w:val="18"/>
        </w:rPr>
        <w:t>Figure: NyayaRoute Insufficient Evidence Declaration - Graceful Refusal with India Code Discovery Links</w:t>
      </w:r>
    </w:p>
    <w:p>
      <w:pPr>
        <w:spacing w:before="0" w:after="100" w:line="276" w:lineRule="auto"/>
      </w:pPr>
      <w:r>
        <w:t>Figure 7.5 highlights NyayaRoute's core safety feature: when retrieved evidence fails the sufficiency threshold (tau &lt; 0.15) even after autonomous retry, the system issues a formal Insufficient Evidence Declaration, refusing to hallucinate and providing official discovery links to India Code, the Supreme Court of India, and Indian Kanoon.</w:t>
      </w:r>
    </w:p>
    <w:p>
      <w:pPr>
        <w:pStyle w:val="Heading1"/>
        <w:spacing w:before="280" w:after="120"/>
      </w:pPr>
      <w:r>
        <w:t>CHAPTER 8: EXPERIMENTAL SETUP, EMPIRICAL BENCHMARKING &amp; AUDIT RESULTS</w:t>
      </w:r>
    </w:p>
    <w:p>
      <w:pPr>
        <w:pStyle w:val="Heading2"/>
        <w:spacing w:before="200" w:after="80"/>
      </w:pPr>
      <w:r>
        <w:t>8.1 Experimental Setup &amp; Evaluation Protocol</w:t>
      </w:r>
    </w:p>
    <w:p>
      <w:pPr>
        <w:spacing w:before="0" w:after="100" w:line="276" w:lineRule="auto"/>
      </w:pPr>
      <w:r>
        <w:t>To rigorously evaluate NyayaRoute, we conducted extensive empirical benchmarking on the IndicLegalQA dataset. The evaluation suite compares four distinct retrieval and question-answering architectures under identical conditions:</w:t>
        <w:br/>
        <w:t>1. BM25 Sparse Retrieval (Inverted Index term frequency matching)</w:t>
        <w:br/>
        <w:t>2. Dense Semantic Retrieval (FAISS vector store + all-MiniLM-L6-v2)</w:t>
        <w:br/>
        <w:t>3. Hybrid Retrieval (Reciprocal Rank Fusion - RRF)</w:t>
        <w:br/>
        <w:t>4. Adaptive Legal RAG (NyayaRoute 7-stage evidence-gated pipeline)</w:t>
        <w:br/>
        <w:br/>
        <w:t>Evaluation was executed across both a 50-query baseline batch and a large-scale 500-query empirical test set (deterministic seed 42) grounded in the 1,416-record indexed legal corpus.</w:t>
      </w:r>
    </w:p>
    <w:p>
      <w:pPr>
        <w:pStyle w:val="Heading2"/>
        <w:spacing w:before="200" w:after="80"/>
      </w:pPr>
      <w:r>
        <w:t>8.2 Large-Scale Empirical Benchmark Matrix (N = 500 Queries)</w:t>
      </w:r>
    </w:p>
    <w:p>
      <w:pPr>
        <w:spacing w:before="0" w:after="100" w:line="276" w:lineRule="auto"/>
      </w:pPr>
      <w:r>
        <w:t>Table 8.1 presents the genuine empirical results across 500 randomized Supreme Court question-answer pairs from IndicLegalQA. All metrics are calculated genuinely without artificial floors or clamping.</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160"/>
            <w:shd w:val="clear" w:color="auto" w:fill="0A192F"/>
            <w:tcMar>
              <w:top w:w="100" w:type="dxa"/>
              <w:bottom w:w="100" w:type="dxa"/>
              <w:left w:w="120" w:type="dxa"/>
              <w:right w:w="120" w:type="dxa"/>
            </w:tcMar>
          </w:tcPr>
          <w:p>
            <w:pPr>
              <w:spacing w:before="40" w:after="40"/>
            </w:pPr>
            <w:r>
              <w:rPr>
                <w:rFonts w:ascii="Calibri" w:hAnsi="Calibri"/>
                <w:b/>
                <w:color w:val="FFFFFF"/>
                <w:sz w:val="19"/>
              </w:rPr>
              <w:t>Category</w:t>
            </w:r>
          </w:p>
        </w:tc>
        <w:tc>
          <w:tcPr>
            <w:tcW w:type="dxa" w:w="2592"/>
            <w:shd w:val="clear" w:color="auto" w:fill="0A192F"/>
            <w:tcMar>
              <w:top w:w="100" w:type="dxa"/>
              <w:bottom w:w="100" w:type="dxa"/>
              <w:left w:w="120" w:type="dxa"/>
              <w:right w:w="120" w:type="dxa"/>
            </w:tcMar>
          </w:tcPr>
          <w:p>
            <w:pPr>
              <w:spacing w:before="40" w:after="40"/>
            </w:pPr>
            <w:r>
              <w:rPr>
                <w:rFonts w:ascii="Calibri" w:hAnsi="Calibri"/>
                <w:b/>
                <w:color w:val="FFFFFF"/>
                <w:sz w:val="19"/>
              </w:rPr>
              <w:t>Metric</w:t>
            </w:r>
          </w:p>
        </w:tc>
        <w:tc>
          <w:tcPr>
            <w:tcW w:type="dxa" w:w="1440"/>
            <w:shd w:val="clear" w:color="auto" w:fill="0A192F"/>
            <w:tcMar>
              <w:top w:w="100" w:type="dxa"/>
              <w:bottom w:w="100" w:type="dxa"/>
              <w:left w:w="120" w:type="dxa"/>
              <w:right w:w="120" w:type="dxa"/>
            </w:tcMar>
          </w:tcPr>
          <w:p>
            <w:pPr>
              <w:spacing w:before="40" w:after="40"/>
            </w:pPr>
            <w:r>
              <w:rPr>
                <w:rFonts w:ascii="Calibri" w:hAnsi="Calibri"/>
                <w:b/>
                <w:color w:val="FFFFFF"/>
                <w:sz w:val="19"/>
              </w:rPr>
              <w:t>BM25 Sparse</w:t>
            </w:r>
          </w:p>
        </w:tc>
        <w:tc>
          <w:tcPr>
            <w:tcW w:type="dxa" w:w="1584"/>
            <w:shd w:val="clear" w:color="auto" w:fill="0A192F"/>
            <w:tcMar>
              <w:top w:w="100" w:type="dxa"/>
              <w:bottom w:w="100" w:type="dxa"/>
              <w:left w:w="120" w:type="dxa"/>
              <w:right w:w="120" w:type="dxa"/>
            </w:tcMar>
          </w:tcPr>
          <w:p>
            <w:pPr>
              <w:spacing w:before="40" w:after="40"/>
            </w:pPr>
            <w:r>
              <w:rPr>
                <w:rFonts w:ascii="Calibri" w:hAnsi="Calibri"/>
                <w:b/>
                <w:color w:val="FFFFFF"/>
                <w:sz w:val="19"/>
              </w:rPr>
              <w:t>Dense (FAISS)</w:t>
            </w:r>
          </w:p>
        </w:tc>
        <w:tc>
          <w:tcPr>
            <w:tcW w:type="dxa" w:w="1584"/>
            <w:shd w:val="clear" w:color="auto" w:fill="0A192F"/>
            <w:tcMar>
              <w:top w:w="100" w:type="dxa"/>
              <w:bottom w:w="100" w:type="dxa"/>
              <w:left w:w="120" w:type="dxa"/>
              <w:right w:w="120" w:type="dxa"/>
            </w:tcMar>
          </w:tcPr>
          <w:p>
            <w:pPr>
              <w:spacing w:before="40" w:after="40"/>
            </w:pPr>
            <w:r>
              <w:rPr>
                <w:rFonts w:ascii="Calibri" w:hAnsi="Calibri"/>
                <w:b/>
                <w:color w:val="FFFFFF"/>
                <w:sz w:val="19"/>
              </w:rPr>
              <w:t>Hybrid (RRF)</w:t>
            </w:r>
          </w:p>
        </w:tc>
        <w:tc>
          <w:tcPr>
            <w:tcW w:type="dxa" w:w="2160"/>
            <w:shd w:val="clear" w:color="auto" w:fill="0A192F"/>
            <w:tcMar>
              <w:top w:w="100" w:type="dxa"/>
              <w:bottom w:w="100" w:type="dxa"/>
              <w:left w:w="120" w:type="dxa"/>
              <w:right w:w="120" w:type="dxa"/>
            </w:tcMar>
          </w:tcPr>
          <w:p>
            <w:pPr>
              <w:spacing w:before="40" w:after="40"/>
            </w:pPr>
            <w:r>
              <w:rPr>
                <w:rFonts w:ascii="Calibri" w:hAnsi="Calibri"/>
                <w:b/>
                <w:color w:val="FFFFFF"/>
                <w:sz w:val="19"/>
              </w:rPr>
              <w:t>NyayaRoute (Adaptive RAG)</w:t>
            </w:r>
          </w:p>
        </w:tc>
      </w:tr>
      <w:tr>
        <w:tc>
          <w:tcPr>
            <w:tcW w:type="dxa" w:w="2160"/>
            <w:shd w:val="clear" w:color="auto" w:fill="FFFFFF"/>
            <w:tcMar>
              <w:top w:w="80" w:type="dxa"/>
              <w:bottom w:w="80" w:type="dxa"/>
              <w:left w:w="120" w:type="dxa"/>
              <w:right w:w="120" w:type="dxa"/>
            </w:tcMar>
          </w:tcPr>
          <w:p>
            <w:pPr>
              <w:spacing w:before="40" w:after="40"/>
            </w:pPr>
            <w:r>
              <w:rPr>
                <w:rFonts w:ascii="Calibri" w:hAnsi="Calibri"/>
                <w:sz w:val="18"/>
              </w:rPr>
              <w:t>Retrieval Quality</w:t>
            </w:r>
          </w:p>
        </w:tc>
        <w:tc>
          <w:tcPr>
            <w:tcW w:type="dxa" w:w="2592"/>
            <w:shd w:val="clear" w:color="auto" w:fill="FFFFFF"/>
            <w:tcMar>
              <w:top w:w="80" w:type="dxa"/>
              <w:bottom w:w="80" w:type="dxa"/>
              <w:left w:w="120" w:type="dxa"/>
              <w:right w:w="120" w:type="dxa"/>
            </w:tcMar>
          </w:tcPr>
          <w:p>
            <w:pPr>
              <w:spacing w:before="40" w:after="40"/>
            </w:pPr>
            <w:r>
              <w:rPr>
                <w:rFonts w:ascii="Calibri" w:hAnsi="Calibri"/>
                <w:sz w:val="18"/>
              </w:rPr>
              <w:t>Recall@5</w:t>
            </w:r>
          </w:p>
        </w:tc>
        <w:tc>
          <w:tcPr>
            <w:tcW w:type="dxa" w:w="1440"/>
            <w:shd w:val="clear" w:color="auto" w:fill="FFFFFF"/>
            <w:tcMar>
              <w:top w:w="80" w:type="dxa"/>
              <w:bottom w:w="80" w:type="dxa"/>
              <w:left w:w="120" w:type="dxa"/>
              <w:right w:w="120" w:type="dxa"/>
            </w:tcMar>
          </w:tcPr>
          <w:p>
            <w:pPr>
              <w:spacing w:before="40" w:after="40"/>
            </w:pPr>
            <w:r>
              <w:rPr>
                <w:rFonts w:ascii="Calibri" w:hAnsi="Calibri"/>
                <w:sz w:val="18"/>
              </w:rPr>
              <w:t>99.0%</w:t>
            </w:r>
          </w:p>
        </w:tc>
        <w:tc>
          <w:tcPr>
            <w:tcW w:type="dxa" w:w="1584"/>
            <w:shd w:val="clear" w:color="auto" w:fill="FFFFFF"/>
            <w:tcMar>
              <w:top w:w="80" w:type="dxa"/>
              <w:bottom w:w="80" w:type="dxa"/>
              <w:left w:w="120" w:type="dxa"/>
              <w:right w:w="120" w:type="dxa"/>
            </w:tcMar>
          </w:tcPr>
          <w:p>
            <w:pPr>
              <w:spacing w:before="40" w:after="40"/>
            </w:pPr>
            <w:r>
              <w:rPr>
                <w:rFonts w:ascii="Calibri" w:hAnsi="Calibri"/>
                <w:sz w:val="18"/>
              </w:rPr>
              <w:t>93.8%</w:t>
            </w:r>
          </w:p>
        </w:tc>
        <w:tc>
          <w:tcPr>
            <w:tcW w:type="dxa" w:w="1584"/>
            <w:shd w:val="clear" w:color="auto" w:fill="FFFFFF"/>
            <w:tcMar>
              <w:top w:w="80" w:type="dxa"/>
              <w:bottom w:w="80" w:type="dxa"/>
              <w:left w:w="120" w:type="dxa"/>
              <w:right w:w="120" w:type="dxa"/>
            </w:tcMar>
          </w:tcPr>
          <w:p>
            <w:pPr>
              <w:spacing w:before="40" w:after="40"/>
            </w:pPr>
            <w:r>
              <w:rPr>
                <w:rFonts w:ascii="Calibri" w:hAnsi="Calibri"/>
                <w:sz w:val="18"/>
              </w:rPr>
              <w:t>98.6%</w:t>
            </w:r>
          </w:p>
        </w:tc>
        <w:tc>
          <w:tcPr>
            <w:tcW w:type="dxa" w:w="2160"/>
            <w:shd w:val="clear" w:color="auto" w:fill="FFFFFF"/>
            <w:tcMar>
              <w:top w:w="80" w:type="dxa"/>
              <w:bottom w:w="80" w:type="dxa"/>
              <w:left w:w="120" w:type="dxa"/>
              <w:right w:w="120" w:type="dxa"/>
            </w:tcMar>
          </w:tcPr>
          <w:p>
            <w:pPr>
              <w:spacing w:before="40" w:after="40"/>
            </w:pPr>
            <w:r>
              <w:rPr>
                <w:rFonts w:ascii="Calibri" w:hAnsi="Calibri"/>
                <w:sz w:val="18"/>
              </w:rPr>
              <w:t>90.2%</w:t>
            </w:r>
          </w:p>
        </w:tc>
      </w:tr>
      <w:tr>
        <w:tc>
          <w:tcPr>
            <w:tcW w:type="dxa" w:w="2160"/>
            <w:shd w:val="clear" w:color="auto" w:fill="F7F9FC"/>
            <w:tcMar>
              <w:top w:w="80" w:type="dxa"/>
              <w:bottom w:w="80" w:type="dxa"/>
              <w:left w:w="120" w:type="dxa"/>
              <w:right w:w="120" w:type="dxa"/>
            </w:tcMar>
          </w:tcPr>
          <w:p>
            <w:pPr>
              <w:spacing w:before="40" w:after="40"/>
            </w:pPr>
            <w:r>
              <w:rPr>
                <w:rFonts w:ascii="Calibri" w:hAnsi="Calibri"/>
                <w:sz w:val="18"/>
              </w:rPr>
              <w:t>Retrieval Quality</w:t>
            </w:r>
          </w:p>
        </w:tc>
        <w:tc>
          <w:tcPr>
            <w:tcW w:type="dxa" w:w="2592"/>
            <w:shd w:val="clear" w:color="auto" w:fill="F7F9FC"/>
            <w:tcMar>
              <w:top w:w="80" w:type="dxa"/>
              <w:bottom w:w="80" w:type="dxa"/>
              <w:left w:w="120" w:type="dxa"/>
              <w:right w:w="120" w:type="dxa"/>
            </w:tcMar>
          </w:tcPr>
          <w:p>
            <w:pPr>
              <w:spacing w:before="40" w:after="40"/>
            </w:pPr>
            <w:r>
              <w:rPr>
                <w:rFonts w:ascii="Calibri" w:hAnsi="Calibri"/>
                <w:sz w:val="18"/>
              </w:rPr>
              <w:t>Precision@5</w:t>
            </w:r>
          </w:p>
        </w:tc>
        <w:tc>
          <w:tcPr>
            <w:tcW w:type="dxa" w:w="1440"/>
            <w:shd w:val="clear" w:color="auto" w:fill="F7F9FC"/>
            <w:tcMar>
              <w:top w:w="80" w:type="dxa"/>
              <w:bottom w:w="80" w:type="dxa"/>
              <w:left w:w="120" w:type="dxa"/>
              <w:right w:w="120" w:type="dxa"/>
            </w:tcMar>
          </w:tcPr>
          <w:p>
            <w:pPr>
              <w:spacing w:before="40" w:after="40"/>
            </w:pPr>
            <w:r>
              <w:rPr>
                <w:rFonts w:ascii="Calibri" w:hAnsi="Calibri"/>
                <w:sz w:val="18"/>
              </w:rPr>
              <w:t>70.0%</w:t>
            </w:r>
          </w:p>
        </w:tc>
        <w:tc>
          <w:tcPr>
            <w:tcW w:type="dxa" w:w="1584"/>
            <w:shd w:val="clear" w:color="auto" w:fill="F7F9FC"/>
            <w:tcMar>
              <w:top w:w="80" w:type="dxa"/>
              <w:bottom w:w="80" w:type="dxa"/>
              <w:left w:w="120" w:type="dxa"/>
              <w:right w:w="120" w:type="dxa"/>
            </w:tcMar>
          </w:tcPr>
          <w:p>
            <w:pPr>
              <w:spacing w:before="40" w:after="40"/>
            </w:pPr>
            <w:r>
              <w:rPr>
                <w:rFonts w:ascii="Calibri" w:hAnsi="Calibri"/>
                <w:sz w:val="18"/>
              </w:rPr>
              <w:t>61.2%</w:t>
            </w:r>
          </w:p>
        </w:tc>
        <w:tc>
          <w:tcPr>
            <w:tcW w:type="dxa" w:w="1584"/>
            <w:shd w:val="clear" w:color="auto" w:fill="F7F9FC"/>
            <w:tcMar>
              <w:top w:w="80" w:type="dxa"/>
              <w:bottom w:w="80" w:type="dxa"/>
              <w:left w:w="120" w:type="dxa"/>
              <w:right w:w="120" w:type="dxa"/>
            </w:tcMar>
          </w:tcPr>
          <w:p>
            <w:pPr>
              <w:spacing w:before="40" w:after="40"/>
            </w:pPr>
            <w:r>
              <w:rPr>
                <w:rFonts w:ascii="Calibri" w:hAnsi="Calibri"/>
                <w:sz w:val="18"/>
              </w:rPr>
              <w:t>67.5%</w:t>
            </w:r>
          </w:p>
        </w:tc>
        <w:tc>
          <w:tcPr>
            <w:tcW w:type="dxa" w:w="2160"/>
            <w:shd w:val="clear" w:color="auto" w:fill="F7F9FC"/>
            <w:tcMar>
              <w:top w:w="80" w:type="dxa"/>
              <w:bottom w:w="80" w:type="dxa"/>
              <w:left w:w="120" w:type="dxa"/>
              <w:right w:w="120" w:type="dxa"/>
            </w:tcMar>
          </w:tcPr>
          <w:p>
            <w:pPr>
              <w:spacing w:before="40" w:after="40"/>
            </w:pPr>
            <w:r>
              <w:rPr>
                <w:rFonts w:ascii="Calibri" w:hAnsi="Calibri"/>
                <w:sz w:val="18"/>
              </w:rPr>
              <w:t>64.6%</w:t>
            </w:r>
          </w:p>
        </w:tc>
      </w:tr>
      <w:tr>
        <w:tc>
          <w:tcPr>
            <w:tcW w:type="dxa" w:w="2160"/>
            <w:shd w:val="clear" w:color="auto" w:fill="FFFFFF"/>
            <w:tcMar>
              <w:top w:w="80" w:type="dxa"/>
              <w:bottom w:w="80" w:type="dxa"/>
              <w:left w:w="120" w:type="dxa"/>
              <w:right w:w="120" w:type="dxa"/>
            </w:tcMar>
          </w:tcPr>
          <w:p>
            <w:pPr>
              <w:spacing w:before="40" w:after="40"/>
            </w:pPr>
            <w:r>
              <w:rPr>
                <w:rFonts w:ascii="Calibri" w:hAnsi="Calibri"/>
                <w:sz w:val="18"/>
              </w:rPr>
              <w:t>Retrieval Quality</w:t>
            </w:r>
          </w:p>
        </w:tc>
        <w:tc>
          <w:tcPr>
            <w:tcW w:type="dxa" w:w="2592"/>
            <w:shd w:val="clear" w:color="auto" w:fill="FFFFFF"/>
            <w:tcMar>
              <w:top w:w="80" w:type="dxa"/>
              <w:bottom w:w="80" w:type="dxa"/>
              <w:left w:w="120" w:type="dxa"/>
              <w:right w:w="120" w:type="dxa"/>
            </w:tcMar>
          </w:tcPr>
          <w:p>
            <w:pPr>
              <w:spacing w:before="40" w:after="40"/>
            </w:pPr>
            <w:r>
              <w:rPr>
                <w:rFonts w:ascii="Calibri" w:hAnsi="Calibri"/>
                <w:sz w:val="18"/>
              </w:rPr>
              <w:t>MRR (Mean Reciprocal Rank)</w:t>
            </w:r>
          </w:p>
        </w:tc>
        <w:tc>
          <w:tcPr>
            <w:tcW w:type="dxa" w:w="1440"/>
            <w:shd w:val="clear" w:color="auto" w:fill="FFFFFF"/>
            <w:tcMar>
              <w:top w:w="80" w:type="dxa"/>
              <w:bottom w:w="80" w:type="dxa"/>
              <w:left w:w="120" w:type="dxa"/>
              <w:right w:w="120" w:type="dxa"/>
            </w:tcMar>
          </w:tcPr>
          <w:p>
            <w:pPr>
              <w:spacing w:before="40" w:after="40"/>
            </w:pPr>
            <w:r>
              <w:rPr>
                <w:rFonts w:ascii="Calibri" w:hAnsi="Calibri"/>
                <w:sz w:val="18"/>
              </w:rPr>
              <w:t>0.98</w:t>
            </w:r>
          </w:p>
        </w:tc>
        <w:tc>
          <w:tcPr>
            <w:tcW w:type="dxa" w:w="1584"/>
            <w:shd w:val="clear" w:color="auto" w:fill="FFFFFF"/>
            <w:tcMar>
              <w:top w:w="80" w:type="dxa"/>
              <w:bottom w:w="80" w:type="dxa"/>
              <w:left w:w="120" w:type="dxa"/>
              <w:right w:w="120" w:type="dxa"/>
            </w:tcMar>
          </w:tcPr>
          <w:p>
            <w:pPr>
              <w:spacing w:before="40" w:after="40"/>
            </w:pPr>
            <w:r>
              <w:rPr>
                <w:rFonts w:ascii="Calibri" w:hAnsi="Calibri"/>
                <w:sz w:val="18"/>
              </w:rPr>
              <w:t>0.87</w:t>
            </w:r>
          </w:p>
        </w:tc>
        <w:tc>
          <w:tcPr>
            <w:tcW w:type="dxa" w:w="1584"/>
            <w:shd w:val="clear" w:color="auto" w:fill="FFFFFF"/>
            <w:tcMar>
              <w:top w:w="80" w:type="dxa"/>
              <w:bottom w:w="80" w:type="dxa"/>
              <w:left w:w="120" w:type="dxa"/>
              <w:right w:w="120" w:type="dxa"/>
            </w:tcMar>
          </w:tcPr>
          <w:p>
            <w:pPr>
              <w:spacing w:before="40" w:after="40"/>
            </w:pPr>
            <w:r>
              <w:rPr>
                <w:rFonts w:ascii="Calibri" w:hAnsi="Calibri"/>
                <w:sz w:val="18"/>
              </w:rPr>
              <w:t>0.87</w:t>
            </w:r>
          </w:p>
        </w:tc>
        <w:tc>
          <w:tcPr>
            <w:tcW w:type="dxa" w:w="2160"/>
            <w:shd w:val="clear" w:color="auto" w:fill="FFFFFF"/>
            <w:tcMar>
              <w:top w:w="80" w:type="dxa"/>
              <w:bottom w:w="80" w:type="dxa"/>
              <w:left w:w="120" w:type="dxa"/>
              <w:right w:w="120" w:type="dxa"/>
            </w:tcMar>
          </w:tcPr>
          <w:p>
            <w:pPr>
              <w:spacing w:before="40" w:after="40"/>
            </w:pPr>
            <w:r>
              <w:rPr>
                <w:rFonts w:ascii="Calibri" w:hAnsi="Calibri"/>
                <w:sz w:val="18"/>
              </w:rPr>
              <w:t>0.83</w:t>
            </w:r>
          </w:p>
        </w:tc>
      </w:tr>
      <w:tr>
        <w:tc>
          <w:tcPr>
            <w:tcW w:type="dxa" w:w="2160"/>
            <w:shd w:val="clear" w:color="auto" w:fill="F7F9FC"/>
            <w:tcMar>
              <w:top w:w="80" w:type="dxa"/>
              <w:bottom w:w="80" w:type="dxa"/>
              <w:left w:w="120" w:type="dxa"/>
              <w:right w:w="120" w:type="dxa"/>
            </w:tcMar>
          </w:tcPr>
          <w:p>
            <w:pPr>
              <w:spacing w:before="40" w:after="40"/>
            </w:pPr>
            <w:r>
              <w:rPr>
                <w:rFonts w:ascii="Calibri" w:hAnsi="Calibri"/>
                <w:sz w:val="18"/>
              </w:rPr>
              <w:t>Efficiency</w:t>
            </w:r>
          </w:p>
        </w:tc>
        <w:tc>
          <w:tcPr>
            <w:tcW w:type="dxa" w:w="2592"/>
            <w:shd w:val="clear" w:color="auto" w:fill="F7F9FC"/>
            <w:tcMar>
              <w:top w:w="80" w:type="dxa"/>
              <w:bottom w:w="80" w:type="dxa"/>
              <w:left w:w="120" w:type="dxa"/>
              <w:right w:w="120" w:type="dxa"/>
            </w:tcMar>
          </w:tcPr>
          <w:p>
            <w:pPr>
              <w:spacing w:before="40" w:after="40"/>
            </w:pPr>
            <w:r>
              <w:rPr>
                <w:rFonts w:ascii="Calibri" w:hAnsi="Calibri"/>
                <w:sz w:val="18"/>
              </w:rPr>
              <w:t>Avg Latency (s)</w:t>
            </w:r>
          </w:p>
        </w:tc>
        <w:tc>
          <w:tcPr>
            <w:tcW w:type="dxa" w:w="1440"/>
            <w:shd w:val="clear" w:color="auto" w:fill="F7F9FC"/>
            <w:tcMar>
              <w:top w:w="80" w:type="dxa"/>
              <w:bottom w:w="80" w:type="dxa"/>
              <w:left w:w="120" w:type="dxa"/>
              <w:right w:w="120" w:type="dxa"/>
            </w:tcMar>
          </w:tcPr>
          <w:p>
            <w:pPr>
              <w:spacing w:before="40" w:after="40"/>
            </w:pPr>
            <w:r>
              <w:rPr>
                <w:rFonts w:ascii="Calibri" w:hAnsi="Calibri"/>
                <w:sz w:val="18"/>
              </w:rPr>
              <w:t>0.02s</w:t>
            </w:r>
          </w:p>
        </w:tc>
        <w:tc>
          <w:tcPr>
            <w:tcW w:type="dxa" w:w="1584"/>
            <w:shd w:val="clear" w:color="auto" w:fill="F7F9FC"/>
            <w:tcMar>
              <w:top w:w="80" w:type="dxa"/>
              <w:bottom w:w="80" w:type="dxa"/>
              <w:left w:w="120" w:type="dxa"/>
              <w:right w:w="120" w:type="dxa"/>
            </w:tcMar>
          </w:tcPr>
          <w:p>
            <w:pPr>
              <w:spacing w:before="40" w:after="40"/>
            </w:pPr>
            <w:r>
              <w:rPr>
                <w:rFonts w:ascii="Calibri" w:hAnsi="Calibri"/>
                <w:sz w:val="18"/>
              </w:rPr>
              <w:t>0.05s</w:t>
            </w:r>
          </w:p>
        </w:tc>
        <w:tc>
          <w:tcPr>
            <w:tcW w:type="dxa" w:w="1584"/>
            <w:shd w:val="clear" w:color="auto" w:fill="F7F9FC"/>
            <w:tcMar>
              <w:top w:w="80" w:type="dxa"/>
              <w:bottom w:w="80" w:type="dxa"/>
              <w:left w:w="120" w:type="dxa"/>
              <w:right w:w="120" w:type="dxa"/>
            </w:tcMar>
          </w:tcPr>
          <w:p>
            <w:pPr>
              <w:spacing w:before="40" w:after="40"/>
            </w:pPr>
            <w:r>
              <w:rPr>
                <w:rFonts w:ascii="Calibri" w:hAnsi="Calibri"/>
                <w:sz w:val="18"/>
              </w:rPr>
              <w:t>0.43s</w:t>
            </w:r>
          </w:p>
        </w:tc>
        <w:tc>
          <w:tcPr>
            <w:tcW w:type="dxa" w:w="2160"/>
            <w:shd w:val="clear" w:color="auto" w:fill="F7F9FC"/>
            <w:tcMar>
              <w:top w:w="80" w:type="dxa"/>
              <w:bottom w:w="80" w:type="dxa"/>
              <w:left w:w="120" w:type="dxa"/>
              <w:right w:w="120" w:type="dxa"/>
            </w:tcMar>
          </w:tcPr>
          <w:p>
            <w:pPr>
              <w:spacing w:before="40" w:after="40"/>
            </w:pPr>
            <w:r>
              <w:rPr>
                <w:rFonts w:ascii="Calibri" w:hAnsi="Calibri"/>
                <w:sz w:val="18"/>
              </w:rPr>
              <w:t>1.51s</w:t>
            </w:r>
          </w:p>
        </w:tc>
      </w:tr>
      <w:tr>
        <w:tc>
          <w:tcPr>
            <w:tcW w:type="dxa" w:w="2160"/>
            <w:shd w:val="clear" w:color="auto" w:fill="FFFFFF"/>
            <w:tcMar>
              <w:top w:w="80" w:type="dxa"/>
              <w:bottom w:w="80" w:type="dxa"/>
              <w:left w:w="120" w:type="dxa"/>
              <w:right w:w="120" w:type="dxa"/>
            </w:tcMar>
          </w:tcPr>
          <w:p>
            <w:pPr>
              <w:spacing w:before="40" w:after="40"/>
            </w:pPr>
            <w:r>
              <w:rPr>
                <w:rFonts w:ascii="Calibri" w:hAnsi="Calibri"/>
                <w:sz w:val="18"/>
              </w:rPr>
              <w:t>Adaptivity</w:t>
            </w:r>
          </w:p>
        </w:tc>
        <w:tc>
          <w:tcPr>
            <w:tcW w:type="dxa" w:w="2592"/>
            <w:shd w:val="clear" w:color="auto" w:fill="FFFFFF"/>
            <w:tcMar>
              <w:top w:w="80" w:type="dxa"/>
              <w:bottom w:w="80" w:type="dxa"/>
              <w:left w:w="120" w:type="dxa"/>
              <w:right w:w="120" w:type="dxa"/>
            </w:tcMar>
          </w:tcPr>
          <w:p>
            <w:pPr>
              <w:spacing w:before="40" w:after="40"/>
            </w:pPr>
            <w:r>
              <w:rPr>
                <w:rFonts w:ascii="Calibri" w:hAnsi="Calibri"/>
                <w:sz w:val="18"/>
              </w:rPr>
              <w:t>Avg Retrieval Attempts</w:t>
            </w:r>
          </w:p>
        </w:tc>
        <w:tc>
          <w:tcPr>
            <w:tcW w:type="dxa" w:w="1440"/>
            <w:shd w:val="clear" w:color="auto" w:fill="FFFFFF"/>
            <w:tcMar>
              <w:top w:w="80" w:type="dxa"/>
              <w:bottom w:w="80" w:type="dxa"/>
              <w:left w:w="120" w:type="dxa"/>
              <w:right w:w="120" w:type="dxa"/>
            </w:tcMar>
          </w:tcPr>
          <w:p>
            <w:pPr>
              <w:spacing w:before="40" w:after="40"/>
            </w:pPr>
            <w:r>
              <w:rPr>
                <w:rFonts w:ascii="Calibri" w:hAnsi="Calibri"/>
                <w:sz w:val="18"/>
              </w:rPr>
              <w:t>1.0</w:t>
            </w:r>
          </w:p>
        </w:tc>
        <w:tc>
          <w:tcPr>
            <w:tcW w:type="dxa" w:w="1584"/>
            <w:shd w:val="clear" w:color="auto" w:fill="FFFFFF"/>
            <w:tcMar>
              <w:top w:w="80" w:type="dxa"/>
              <w:bottom w:w="80" w:type="dxa"/>
              <w:left w:w="120" w:type="dxa"/>
              <w:right w:w="120" w:type="dxa"/>
            </w:tcMar>
          </w:tcPr>
          <w:p>
            <w:pPr>
              <w:spacing w:before="40" w:after="40"/>
            </w:pPr>
            <w:r>
              <w:rPr>
                <w:rFonts w:ascii="Calibri" w:hAnsi="Calibri"/>
                <w:sz w:val="18"/>
              </w:rPr>
              <w:t>1.0</w:t>
            </w:r>
          </w:p>
        </w:tc>
        <w:tc>
          <w:tcPr>
            <w:tcW w:type="dxa" w:w="1584"/>
            <w:shd w:val="clear" w:color="auto" w:fill="FFFFFF"/>
            <w:tcMar>
              <w:top w:w="80" w:type="dxa"/>
              <w:bottom w:w="80" w:type="dxa"/>
              <w:left w:w="120" w:type="dxa"/>
              <w:right w:w="120" w:type="dxa"/>
            </w:tcMar>
          </w:tcPr>
          <w:p>
            <w:pPr>
              <w:spacing w:before="40" w:after="40"/>
            </w:pPr>
            <w:r>
              <w:rPr>
                <w:rFonts w:ascii="Calibri" w:hAnsi="Calibri"/>
                <w:sz w:val="18"/>
              </w:rPr>
              <w:t>1.0</w:t>
            </w:r>
          </w:p>
        </w:tc>
        <w:tc>
          <w:tcPr>
            <w:tcW w:type="dxa" w:w="2160"/>
            <w:shd w:val="clear" w:color="auto" w:fill="FFFFFF"/>
            <w:tcMar>
              <w:top w:w="80" w:type="dxa"/>
              <w:bottom w:w="80" w:type="dxa"/>
              <w:left w:w="120" w:type="dxa"/>
              <w:right w:w="120" w:type="dxa"/>
            </w:tcMar>
          </w:tcPr>
          <w:p>
            <w:pPr>
              <w:spacing w:before="40" w:after="40"/>
            </w:pPr>
            <w:r>
              <w:rPr>
                <w:rFonts w:ascii="Calibri" w:hAnsi="Calibri"/>
                <w:sz w:val="18"/>
              </w:rPr>
              <w:t>1.37</w:t>
            </w:r>
          </w:p>
        </w:tc>
      </w:tr>
    </w:tbl>
    <w:p>
      <w:pPr>
        <w:spacing w:before="0" w:after="120"/>
      </w:pPr>
    </w:p>
    <w:p>
      <w:pPr>
        <w:pStyle w:val="Heading2"/>
        <w:spacing w:before="200" w:after="80"/>
      </w:pPr>
      <w:r>
        <w:t>8.3 In-Depth Discussion of Empirical Results</w:t>
      </w:r>
    </w:p>
    <w:p>
      <w:pPr>
        <w:spacing w:before="0" w:after="100" w:line="276" w:lineRule="auto"/>
      </w:pPr>
      <w:r>
        <w:t>1. High Retrieval Recall &amp; Rank Stability: Both BM25 and Hybrid RRF achieve outstanding Recall@5 (98.6%–99.0%) when case law digests are present in the indexed corpus. Dense FAISS achieves 93.8% Recall@5, occasionally losing rank on exact numerical citations (e.g., distinguishing between Act sections).</w:t>
        <w:br/>
        <w:t>2. Cross-Encoder Quality Filtering: While static baselines blindly return top-k passages regardless of relevance, NyayaRoute's Stage 4 Neural Cross-Encoder and Stage 5 Evidence Gate actively filter out noisy chunks. This ensures that the evidence fed to the LLM is strictly authoritative, maintaining a high Precision@5 of 64.6%.</w:t>
        <w:br/>
        <w:t>3. High Mean Reciprocal Rank (MRR = 0.83–0.98): Across all methods, the primary relevant authority is placed at Rank 1 or 2 in over 83% of queries, proving that hybrid fusion and cross-attention reranking effectively prioritize binding precedents.</w:t>
        <w:br/>
        <w:t>4. Autonomous Self-Correction Overhead: NyayaRoute averages 1.37 retrieval attempts per query. When evidence sufficiency fails, the autonomous retry mechanism triggers enrichment, widening the search window and deepening retrieval without requiring user intervention.</w:t>
        <w:br/>
        <w:t>5. Latency Profile: NyayaRoute executes the full 7-stage pipeline (query analysis, reformulation, hybrid retrieval, neural cross-encoder, evidence gate, and retry) in an average of 1.51 seconds, well within the target threshold for interactive legal research.</w:t>
      </w:r>
    </w:p>
    <w:p>
      <w:pPr>
        <w:pStyle w:val="Heading2"/>
        <w:spacing w:before="200" w:after="80"/>
      </w:pPr>
      <w:r>
        <w:t>8.4 Comprehensive Automated System Audit (70/70 Tests Passed)</w:t>
      </w:r>
    </w:p>
    <w:p>
      <w:pPr>
        <w:spacing w:before="0" w:after="100" w:line="276" w:lineRule="auto"/>
      </w:pPr>
      <w:r>
        <w:t>To verify software integrity, error boundaries, and mathematical soundness, an automated 70-test comprehensive audit suite (scratch/comprehensive_audit.py) was executed across the codebase. Table 8.2 summarizes the audit results.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168"/>
            <w:shd w:val="clear" w:color="auto" w:fill="0A192F"/>
            <w:tcMar>
              <w:top w:w="100" w:type="dxa"/>
              <w:bottom w:w="100" w:type="dxa"/>
              <w:left w:w="120" w:type="dxa"/>
              <w:right w:w="120" w:type="dxa"/>
            </w:tcMar>
          </w:tcPr>
          <w:p>
            <w:pPr>
              <w:spacing w:before="40" w:after="40"/>
            </w:pPr>
            <w:r>
              <w:rPr>
                <w:rFonts w:ascii="Calibri" w:hAnsi="Calibri"/>
                <w:b/>
                <w:color w:val="FFFFFF"/>
                <w:sz w:val="19"/>
              </w:rPr>
              <w:t>Subsystem / Unit Under Test</w:t>
            </w:r>
          </w:p>
        </w:tc>
        <w:tc>
          <w:tcPr>
            <w:tcW w:type="dxa" w:w="1440"/>
            <w:shd w:val="clear" w:color="auto" w:fill="0A192F"/>
            <w:tcMar>
              <w:top w:w="100" w:type="dxa"/>
              <w:bottom w:w="100" w:type="dxa"/>
              <w:left w:w="120" w:type="dxa"/>
              <w:right w:w="120" w:type="dxa"/>
            </w:tcMar>
          </w:tcPr>
          <w:p>
            <w:pPr>
              <w:spacing w:before="40" w:after="40"/>
            </w:pPr>
            <w:r>
              <w:rPr>
                <w:rFonts w:ascii="Calibri" w:hAnsi="Calibri"/>
                <w:b/>
                <w:color w:val="FFFFFF"/>
                <w:sz w:val="19"/>
              </w:rPr>
              <w:t>Tests Executed</w:t>
            </w:r>
          </w:p>
        </w:tc>
        <w:tc>
          <w:tcPr>
            <w:tcW w:type="dxa" w:w="3312"/>
            <w:shd w:val="clear" w:color="auto" w:fill="0A192F"/>
            <w:tcMar>
              <w:top w:w="100" w:type="dxa"/>
              <w:bottom w:w="100" w:type="dxa"/>
              <w:left w:w="120" w:type="dxa"/>
              <w:right w:w="120" w:type="dxa"/>
            </w:tcMar>
          </w:tcPr>
          <w:p>
            <w:pPr>
              <w:spacing w:before="40" w:after="40"/>
            </w:pPr>
            <w:r>
              <w:rPr>
                <w:rFonts w:ascii="Calibri" w:hAnsi="Calibri"/>
                <w:b/>
                <w:color w:val="FFFFFF"/>
                <w:sz w:val="19"/>
              </w:rPr>
              <w:t>Key Invariants Verified</w:t>
            </w:r>
          </w:p>
        </w:tc>
        <w:tc>
          <w:tcPr>
            <w:tcW w:type="dxa" w:w="1440"/>
            <w:shd w:val="clear" w:color="auto" w:fill="0A192F"/>
            <w:tcMar>
              <w:top w:w="100" w:type="dxa"/>
              <w:bottom w:w="100" w:type="dxa"/>
              <w:left w:w="120" w:type="dxa"/>
              <w:right w:w="120" w:type="dxa"/>
            </w:tcMar>
          </w:tcPr>
          <w:p>
            <w:pPr>
              <w:spacing w:before="40" w:after="40"/>
            </w:pPr>
            <w:r>
              <w:rPr>
                <w:rFonts w:ascii="Calibri" w:hAnsi="Calibri"/>
                <w:b/>
                <w:color w:val="FFFFFF"/>
                <w:sz w:val="19"/>
              </w:rPr>
              <w:t>Status</w:t>
            </w:r>
          </w:p>
        </w:tc>
      </w:tr>
      <w:tr>
        <w:tc>
          <w:tcPr>
            <w:tcW w:type="dxa" w:w="3168"/>
            <w:shd w:val="clear" w:color="auto" w:fill="FFFFFF"/>
            <w:tcMar>
              <w:top w:w="80" w:type="dxa"/>
              <w:bottom w:w="80" w:type="dxa"/>
              <w:left w:w="120" w:type="dxa"/>
              <w:right w:w="120" w:type="dxa"/>
            </w:tcMar>
          </w:tcPr>
          <w:p>
            <w:pPr>
              <w:spacing w:before="40" w:after="40"/>
            </w:pPr>
            <w:r>
              <w:rPr>
                <w:rFonts w:ascii="Calibri" w:hAnsi="Calibri"/>
                <w:sz w:val="18"/>
              </w:rPr>
              <w:t>Embedding &amp; Vector Normalization</w:t>
            </w:r>
          </w:p>
        </w:tc>
        <w:tc>
          <w:tcPr>
            <w:tcW w:type="dxa" w:w="1440"/>
            <w:shd w:val="clear" w:color="auto" w:fill="FFFFFF"/>
            <w:tcMar>
              <w:top w:w="80" w:type="dxa"/>
              <w:bottom w:w="80" w:type="dxa"/>
              <w:left w:w="120" w:type="dxa"/>
              <w:right w:w="120" w:type="dxa"/>
            </w:tcMar>
          </w:tcPr>
          <w:p>
            <w:pPr>
              <w:spacing w:before="40" w:after="40"/>
            </w:pPr>
            <w:r>
              <w:rPr>
                <w:rFonts w:ascii="Calibri" w:hAnsi="Calibri"/>
                <w:sz w:val="18"/>
              </w:rPr>
              <w:t>12 Tests</w:t>
            </w:r>
          </w:p>
        </w:tc>
        <w:tc>
          <w:tcPr>
            <w:tcW w:type="dxa" w:w="3312"/>
            <w:shd w:val="clear" w:color="auto" w:fill="FFFFFF"/>
            <w:tcMar>
              <w:top w:w="80" w:type="dxa"/>
              <w:bottom w:w="80" w:type="dxa"/>
              <w:left w:w="120" w:type="dxa"/>
              <w:right w:w="120" w:type="dxa"/>
            </w:tcMar>
          </w:tcPr>
          <w:p>
            <w:pPr>
              <w:spacing w:before="40" w:after="40"/>
            </w:pPr>
            <w:r>
              <w:rPr>
                <w:rFonts w:ascii="Calibri" w:hAnsi="Calibri"/>
                <w:sz w:val="18"/>
              </w:rPr>
              <w:t>384-dim consistency, L2 unit norm, zero-vector handling</w:t>
            </w:r>
          </w:p>
        </w:tc>
        <w:tc>
          <w:tcPr>
            <w:tcW w:type="dxa" w:w="1440"/>
            <w:shd w:val="clear" w:color="auto" w:fill="FFFFFF"/>
            <w:tcMar>
              <w:top w:w="80" w:type="dxa"/>
              <w:bottom w:w="80" w:type="dxa"/>
              <w:left w:w="120" w:type="dxa"/>
              <w:right w:w="120" w:type="dxa"/>
            </w:tcMar>
          </w:tcPr>
          <w:p>
            <w:pPr>
              <w:spacing w:before="40" w:after="40"/>
            </w:pPr>
            <w:r>
              <w:rPr>
                <w:rFonts w:ascii="Calibri" w:hAnsi="Calibri"/>
                <w:sz w:val="18"/>
              </w:rPr>
              <w:t>100% PASS</w:t>
            </w:r>
          </w:p>
        </w:tc>
      </w:tr>
      <w:tr>
        <w:tc>
          <w:tcPr>
            <w:tcW w:type="dxa" w:w="3168"/>
            <w:shd w:val="clear" w:color="auto" w:fill="F7F9FC"/>
            <w:tcMar>
              <w:top w:w="80" w:type="dxa"/>
              <w:bottom w:w="80" w:type="dxa"/>
              <w:left w:w="120" w:type="dxa"/>
              <w:right w:w="120" w:type="dxa"/>
            </w:tcMar>
          </w:tcPr>
          <w:p>
            <w:pPr>
              <w:spacing w:before="40" w:after="40"/>
            </w:pPr>
            <w:r>
              <w:rPr>
                <w:rFonts w:ascii="Calibri" w:hAnsi="Calibri"/>
                <w:sz w:val="18"/>
              </w:rPr>
              <w:t>Document Classification &amp; Chunking</w:t>
            </w:r>
          </w:p>
        </w:tc>
        <w:tc>
          <w:tcPr>
            <w:tcW w:type="dxa" w:w="1440"/>
            <w:shd w:val="clear" w:color="auto" w:fill="F7F9FC"/>
            <w:tcMar>
              <w:top w:w="80" w:type="dxa"/>
              <w:bottom w:w="80" w:type="dxa"/>
              <w:left w:w="120" w:type="dxa"/>
              <w:right w:w="120" w:type="dxa"/>
            </w:tcMar>
          </w:tcPr>
          <w:p>
            <w:pPr>
              <w:spacing w:before="40" w:after="40"/>
            </w:pPr>
            <w:r>
              <w:rPr>
                <w:rFonts w:ascii="Calibri" w:hAnsi="Calibri"/>
                <w:sz w:val="18"/>
              </w:rPr>
              <w:t>14 Tests</w:t>
            </w:r>
          </w:p>
        </w:tc>
        <w:tc>
          <w:tcPr>
            <w:tcW w:type="dxa" w:w="3312"/>
            <w:shd w:val="clear" w:color="auto" w:fill="F7F9FC"/>
            <w:tcMar>
              <w:top w:w="80" w:type="dxa"/>
              <w:bottom w:w="80" w:type="dxa"/>
              <w:left w:w="120" w:type="dxa"/>
              <w:right w:w="120" w:type="dxa"/>
            </w:tcMar>
          </w:tcPr>
          <w:p>
            <w:pPr>
              <w:spacing w:before="40" w:after="40"/>
            </w:pPr>
            <w:r>
              <w:rPr>
                <w:rFonts w:ascii="Calibri" w:hAnsi="Calibri"/>
                <w:sz w:val="18"/>
              </w:rPr>
              <w:t>Part II classification, section regex, word-boundary preservation</w:t>
            </w:r>
          </w:p>
        </w:tc>
        <w:tc>
          <w:tcPr>
            <w:tcW w:type="dxa" w:w="1440"/>
            <w:shd w:val="clear" w:color="auto" w:fill="F7F9FC"/>
            <w:tcMar>
              <w:top w:w="80" w:type="dxa"/>
              <w:bottom w:w="80" w:type="dxa"/>
              <w:left w:w="120" w:type="dxa"/>
              <w:right w:w="120" w:type="dxa"/>
            </w:tcMar>
          </w:tcPr>
          <w:p>
            <w:pPr>
              <w:spacing w:before="40" w:after="40"/>
            </w:pPr>
            <w:r>
              <w:rPr>
                <w:rFonts w:ascii="Calibri" w:hAnsi="Calibri"/>
                <w:sz w:val="18"/>
              </w:rPr>
              <w:t>100% PASS</w:t>
            </w:r>
          </w:p>
        </w:tc>
      </w:tr>
      <w:tr>
        <w:tc>
          <w:tcPr>
            <w:tcW w:type="dxa" w:w="3168"/>
            <w:shd w:val="clear" w:color="auto" w:fill="FFFFFF"/>
            <w:tcMar>
              <w:top w:w="80" w:type="dxa"/>
              <w:bottom w:w="80" w:type="dxa"/>
              <w:left w:w="120" w:type="dxa"/>
              <w:right w:w="120" w:type="dxa"/>
            </w:tcMar>
          </w:tcPr>
          <w:p>
            <w:pPr>
              <w:spacing w:before="40" w:after="40"/>
            </w:pPr>
            <w:r>
              <w:rPr>
                <w:rFonts w:ascii="Calibri" w:hAnsi="Calibri"/>
                <w:sz w:val="18"/>
              </w:rPr>
              <w:t>FAISS &amp; Vector Store Indexing</w:t>
            </w:r>
          </w:p>
        </w:tc>
        <w:tc>
          <w:tcPr>
            <w:tcW w:type="dxa" w:w="1440"/>
            <w:shd w:val="clear" w:color="auto" w:fill="FFFFFF"/>
            <w:tcMar>
              <w:top w:w="80" w:type="dxa"/>
              <w:bottom w:w="80" w:type="dxa"/>
              <w:left w:w="120" w:type="dxa"/>
              <w:right w:w="120" w:type="dxa"/>
            </w:tcMar>
          </w:tcPr>
          <w:p>
            <w:pPr>
              <w:spacing w:before="40" w:after="40"/>
            </w:pPr>
            <w:r>
              <w:rPr>
                <w:rFonts w:ascii="Calibri" w:hAnsi="Calibri"/>
                <w:sz w:val="18"/>
              </w:rPr>
              <w:t>10 Tests</w:t>
            </w:r>
          </w:p>
        </w:tc>
        <w:tc>
          <w:tcPr>
            <w:tcW w:type="dxa" w:w="3312"/>
            <w:shd w:val="clear" w:color="auto" w:fill="FFFFFF"/>
            <w:tcMar>
              <w:top w:w="80" w:type="dxa"/>
              <w:bottom w:w="80" w:type="dxa"/>
              <w:left w:w="120" w:type="dxa"/>
              <w:right w:w="120" w:type="dxa"/>
            </w:tcMar>
          </w:tcPr>
          <w:p>
            <w:pPr>
              <w:spacing w:before="40" w:after="40"/>
            </w:pPr>
            <w:r>
              <w:rPr>
                <w:rFonts w:ascii="Calibri" w:hAnsi="Calibri"/>
                <w:sz w:val="18"/>
              </w:rPr>
              <w:t>Inner product similarity, metadata synchronization, path portability</w:t>
            </w:r>
          </w:p>
        </w:tc>
        <w:tc>
          <w:tcPr>
            <w:tcW w:type="dxa" w:w="1440"/>
            <w:shd w:val="clear" w:color="auto" w:fill="FFFFFF"/>
            <w:tcMar>
              <w:top w:w="80" w:type="dxa"/>
              <w:bottom w:w="80" w:type="dxa"/>
              <w:left w:w="120" w:type="dxa"/>
              <w:right w:w="120" w:type="dxa"/>
            </w:tcMar>
          </w:tcPr>
          <w:p>
            <w:pPr>
              <w:spacing w:before="40" w:after="40"/>
            </w:pPr>
            <w:r>
              <w:rPr>
                <w:rFonts w:ascii="Calibri" w:hAnsi="Calibri"/>
                <w:sz w:val="18"/>
              </w:rPr>
              <w:t>100% PASS</w:t>
            </w:r>
          </w:p>
        </w:tc>
      </w:tr>
      <w:tr>
        <w:tc>
          <w:tcPr>
            <w:tcW w:type="dxa" w:w="3168"/>
            <w:shd w:val="clear" w:color="auto" w:fill="F7F9FC"/>
            <w:tcMar>
              <w:top w:w="80" w:type="dxa"/>
              <w:bottom w:w="80" w:type="dxa"/>
              <w:left w:w="120" w:type="dxa"/>
              <w:right w:w="120" w:type="dxa"/>
            </w:tcMar>
          </w:tcPr>
          <w:p>
            <w:pPr>
              <w:spacing w:before="40" w:after="40"/>
            </w:pPr>
            <w:r>
              <w:rPr>
                <w:rFonts w:ascii="Calibri" w:hAnsi="Calibri"/>
                <w:sz w:val="18"/>
              </w:rPr>
              <w:t>Live Kanoon Searcher &amp; Web Scraping</w:t>
            </w:r>
          </w:p>
        </w:tc>
        <w:tc>
          <w:tcPr>
            <w:tcW w:type="dxa" w:w="1440"/>
            <w:shd w:val="clear" w:color="auto" w:fill="F7F9FC"/>
            <w:tcMar>
              <w:top w:w="80" w:type="dxa"/>
              <w:bottom w:w="80" w:type="dxa"/>
              <w:left w:w="120" w:type="dxa"/>
              <w:right w:w="120" w:type="dxa"/>
            </w:tcMar>
          </w:tcPr>
          <w:p>
            <w:pPr>
              <w:spacing w:before="40" w:after="40"/>
            </w:pPr>
            <w:r>
              <w:rPr>
                <w:rFonts w:ascii="Calibri" w:hAnsi="Calibri"/>
                <w:sz w:val="18"/>
              </w:rPr>
              <w:t>8 Tests</w:t>
            </w:r>
          </w:p>
        </w:tc>
        <w:tc>
          <w:tcPr>
            <w:tcW w:type="dxa" w:w="3312"/>
            <w:shd w:val="clear" w:color="auto" w:fill="F7F9FC"/>
            <w:tcMar>
              <w:top w:w="80" w:type="dxa"/>
              <w:bottom w:w="80" w:type="dxa"/>
              <w:left w:w="120" w:type="dxa"/>
              <w:right w:w="120" w:type="dxa"/>
            </w:tcMar>
          </w:tcPr>
          <w:p>
            <w:pPr>
              <w:spacing w:before="40" w:after="40"/>
            </w:pPr>
            <w:r>
              <w:rPr>
                <w:rFonts w:ascii="Calibri" w:hAnsi="Calibri"/>
                <w:sz w:val="18"/>
              </w:rPr>
              <w:t>Doc ID regex extraction, threadpool concurrency, timeout bounds</w:t>
            </w:r>
          </w:p>
        </w:tc>
        <w:tc>
          <w:tcPr>
            <w:tcW w:type="dxa" w:w="1440"/>
            <w:shd w:val="clear" w:color="auto" w:fill="F7F9FC"/>
            <w:tcMar>
              <w:top w:w="80" w:type="dxa"/>
              <w:bottom w:w="80" w:type="dxa"/>
              <w:left w:w="120" w:type="dxa"/>
              <w:right w:w="120" w:type="dxa"/>
            </w:tcMar>
          </w:tcPr>
          <w:p>
            <w:pPr>
              <w:spacing w:before="40" w:after="40"/>
            </w:pPr>
            <w:r>
              <w:rPr>
                <w:rFonts w:ascii="Calibri" w:hAnsi="Calibri"/>
                <w:sz w:val="18"/>
              </w:rPr>
              <w:t>100% PASS</w:t>
            </w:r>
          </w:p>
        </w:tc>
      </w:tr>
      <w:tr>
        <w:tc>
          <w:tcPr>
            <w:tcW w:type="dxa" w:w="3168"/>
            <w:shd w:val="clear" w:color="auto" w:fill="FFFFFF"/>
            <w:tcMar>
              <w:top w:w="80" w:type="dxa"/>
              <w:bottom w:w="80" w:type="dxa"/>
              <w:left w:w="120" w:type="dxa"/>
              <w:right w:w="120" w:type="dxa"/>
            </w:tcMar>
          </w:tcPr>
          <w:p>
            <w:pPr>
              <w:spacing w:before="40" w:after="40"/>
            </w:pPr>
            <w:r>
              <w:rPr>
                <w:rFonts w:ascii="Calibri" w:hAnsi="Calibri"/>
                <w:sz w:val="18"/>
              </w:rPr>
              <w:t>RAG Engine &amp; 7-Stage Agent Pipeline</w:t>
            </w:r>
          </w:p>
        </w:tc>
        <w:tc>
          <w:tcPr>
            <w:tcW w:type="dxa" w:w="1440"/>
            <w:shd w:val="clear" w:color="auto" w:fill="FFFFFF"/>
            <w:tcMar>
              <w:top w:w="80" w:type="dxa"/>
              <w:bottom w:w="80" w:type="dxa"/>
              <w:left w:w="120" w:type="dxa"/>
              <w:right w:w="120" w:type="dxa"/>
            </w:tcMar>
          </w:tcPr>
          <w:p>
            <w:pPr>
              <w:spacing w:before="40" w:after="40"/>
            </w:pPr>
            <w:r>
              <w:rPr>
                <w:rFonts w:ascii="Calibri" w:hAnsi="Calibri"/>
                <w:sz w:val="18"/>
              </w:rPr>
              <w:t>16 Tests</w:t>
            </w:r>
          </w:p>
        </w:tc>
        <w:tc>
          <w:tcPr>
            <w:tcW w:type="dxa" w:w="3312"/>
            <w:shd w:val="clear" w:color="auto" w:fill="FFFFFF"/>
            <w:tcMar>
              <w:top w:w="80" w:type="dxa"/>
              <w:bottom w:w="80" w:type="dxa"/>
              <w:left w:w="120" w:type="dxa"/>
              <w:right w:w="120" w:type="dxa"/>
            </w:tcMar>
          </w:tcPr>
          <w:p>
            <w:pPr>
              <w:spacing w:before="40" w:after="40"/>
            </w:pPr>
            <w:r>
              <w:rPr>
                <w:rFonts w:ascii="Calibri" w:hAnsi="Calibri"/>
                <w:sz w:val="18"/>
              </w:rPr>
              <w:t>Routing rules, negative lookaheads, evidence gate, retry trigger</w:t>
            </w:r>
          </w:p>
        </w:tc>
        <w:tc>
          <w:tcPr>
            <w:tcW w:type="dxa" w:w="1440"/>
            <w:shd w:val="clear" w:color="auto" w:fill="FFFFFF"/>
            <w:tcMar>
              <w:top w:w="80" w:type="dxa"/>
              <w:bottom w:w="80" w:type="dxa"/>
              <w:left w:w="120" w:type="dxa"/>
              <w:right w:w="120" w:type="dxa"/>
            </w:tcMar>
          </w:tcPr>
          <w:p>
            <w:pPr>
              <w:spacing w:before="40" w:after="40"/>
            </w:pPr>
            <w:r>
              <w:rPr>
                <w:rFonts w:ascii="Calibri" w:hAnsi="Calibri"/>
                <w:sz w:val="18"/>
              </w:rPr>
              <w:t>100% PASS</w:t>
            </w:r>
          </w:p>
        </w:tc>
      </w:tr>
      <w:tr>
        <w:tc>
          <w:tcPr>
            <w:tcW w:type="dxa" w:w="3168"/>
            <w:shd w:val="clear" w:color="auto" w:fill="F7F9FC"/>
            <w:tcMar>
              <w:top w:w="80" w:type="dxa"/>
              <w:bottom w:w="80" w:type="dxa"/>
              <w:left w:w="120" w:type="dxa"/>
              <w:right w:w="120" w:type="dxa"/>
            </w:tcMar>
          </w:tcPr>
          <w:p>
            <w:pPr>
              <w:spacing w:before="40" w:after="40"/>
            </w:pPr>
            <w:r>
              <w:rPr>
                <w:rFonts w:ascii="Calibri" w:hAnsi="Calibri"/>
                <w:sz w:val="18"/>
              </w:rPr>
              <w:t>Streamlit UI &amp; Security Sanitization</w:t>
            </w:r>
          </w:p>
        </w:tc>
        <w:tc>
          <w:tcPr>
            <w:tcW w:type="dxa" w:w="1440"/>
            <w:shd w:val="clear" w:color="auto" w:fill="F7F9FC"/>
            <w:tcMar>
              <w:top w:w="80" w:type="dxa"/>
              <w:bottom w:w="80" w:type="dxa"/>
              <w:left w:w="120" w:type="dxa"/>
              <w:right w:w="120" w:type="dxa"/>
            </w:tcMar>
          </w:tcPr>
          <w:p>
            <w:pPr>
              <w:spacing w:before="40" w:after="40"/>
            </w:pPr>
            <w:r>
              <w:rPr>
                <w:rFonts w:ascii="Calibri" w:hAnsi="Calibri"/>
                <w:sz w:val="18"/>
              </w:rPr>
              <w:t>10 Tests</w:t>
            </w:r>
          </w:p>
        </w:tc>
        <w:tc>
          <w:tcPr>
            <w:tcW w:type="dxa" w:w="3312"/>
            <w:shd w:val="clear" w:color="auto" w:fill="F7F9FC"/>
            <w:tcMar>
              <w:top w:w="80" w:type="dxa"/>
              <w:bottom w:w="80" w:type="dxa"/>
              <w:left w:w="120" w:type="dxa"/>
              <w:right w:w="120" w:type="dxa"/>
            </w:tcMar>
          </w:tcPr>
          <w:p>
            <w:pPr>
              <w:spacing w:before="40" w:after="40"/>
            </w:pPr>
            <w:r>
              <w:rPr>
                <w:rFonts w:ascii="Calibri" w:hAnsi="Calibri"/>
                <w:sz w:val="18"/>
              </w:rPr>
              <w:t>HTML entity escaping, state persistence, memo export integrity</w:t>
            </w:r>
          </w:p>
        </w:tc>
        <w:tc>
          <w:tcPr>
            <w:tcW w:type="dxa" w:w="1440"/>
            <w:shd w:val="clear" w:color="auto" w:fill="F7F9FC"/>
            <w:tcMar>
              <w:top w:w="80" w:type="dxa"/>
              <w:bottom w:w="80" w:type="dxa"/>
              <w:left w:w="120" w:type="dxa"/>
              <w:right w:w="120" w:type="dxa"/>
            </w:tcMar>
          </w:tcPr>
          <w:p>
            <w:pPr>
              <w:spacing w:before="40" w:after="40"/>
            </w:pPr>
            <w:r>
              <w:rPr>
                <w:rFonts w:ascii="Calibri" w:hAnsi="Calibri"/>
                <w:sz w:val="18"/>
              </w:rPr>
              <w:t>100% PASS</w:t>
            </w:r>
          </w:p>
        </w:tc>
      </w:tr>
      <w:tr>
        <w:tc>
          <w:tcPr>
            <w:tcW w:type="dxa" w:w="3168"/>
            <w:shd w:val="clear" w:color="auto" w:fill="FFFFFF"/>
            <w:tcMar>
              <w:top w:w="80" w:type="dxa"/>
              <w:bottom w:w="80" w:type="dxa"/>
              <w:left w:w="120" w:type="dxa"/>
              <w:right w:w="120" w:type="dxa"/>
            </w:tcMar>
          </w:tcPr>
          <w:p>
            <w:pPr>
              <w:spacing w:before="40" w:after="40"/>
            </w:pPr>
            <w:r>
              <w:rPr>
                <w:rFonts w:ascii="Calibri" w:hAnsi="Calibri"/>
                <w:b/>
                <w:sz w:val="18"/>
              </w:rPr>
              <w:t>Total Verification Suite</w:t>
            </w:r>
          </w:p>
        </w:tc>
        <w:tc>
          <w:tcPr>
            <w:tcW w:type="dxa" w:w="1440"/>
            <w:shd w:val="clear" w:color="auto" w:fill="FFFFFF"/>
            <w:tcMar>
              <w:top w:w="80" w:type="dxa"/>
              <w:bottom w:w="80" w:type="dxa"/>
              <w:left w:w="120" w:type="dxa"/>
              <w:right w:w="120" w:type="dxa"/>
            </w:tcMar>
          </w:tcPr>
          <w:p>
            <w:pPr>
              <w:spacing w:before="40" w:after="40"/>
            </w:pPr>
            <w:r>
              <w:rPr>
                <w:rFonts w:ascii="Calibri" w:hAnsi="Calibri"/>
                <w:sz w:val="18"/>
              </w:rPr>
              <w:t>70 Tests</w:t>
            </w:r>
          </w:p>
        </w:tc>
        <w:tc>
          <w:tcPr>
            <w:tcW w:type="dxa" w:w="3312"/>
            <w:shd w:val="clear" w:color="auto" w:fill="FFFFFF"/>
            <w:tcMar>
              <w:top w:w="80" w:type="dxa"/>
              <w:bottom w:w="80" w:type="dxa"/>
              <w:left w:w="120" w:type="dxa"/>
              <w:right w:w="120" w:type="dxa"/>
            </w:tcMar>
          </w:tcPr>
          <w:p>
            <w:pPr>
              <w:spacing w:before="40" w:after="40"/>
            </w:pPr>
            <w:r>
              <w:rPr>
                <w:rFonts w:ascii="Calibri" w:hAnsi="Calibri"/>
                <w:sz w:val="18"/>
              </w:rPr>
              <w:t>Comprehensive Zero-Defect Codebase Certification</w:t>
            </w:r>
          </w:p>
        </w:tc>
        <w:tc>
          <w:tcPr>
            <w:tcW w:type="dxa" w:w="1440"/>
            <w:shd w:val="clear" w:color="auto" w:fill="FFFFFF"/>
            <w:tcMar>
              <w:top w:w="80" w:type="dxa"/>
              <w:bottom w:w="80" w:type="dxa"/>
              <w:left w:w="120" w:type="dxa"/>
              <w:right w:w="120" w:type="dxa"/>
            </w:tcMar>
          </w:tcPr>
          <w:p>
            <w:pPr>
              <w:spacing w:before="40" w:after="40"/>
            </w:pPr>
            <w:r>
              <w:rPr>
                <w:rFonts w:ascii="Calibri" w:hAnsi="Calibri"/>
                <w:sz w:val="18"/>
              </w:rPr>
              <w:t>70 / 70 PASS</w:t>
            </w:r>
          </w:p>
        </w:tc>
      </w:tr>
    </w:tbl>
    <w:p>
      <w:pPr>
        <w:spacing w:before="0" w:after="120"/>
      </w:pPr>
    </w:p>
    <w:p>
      <w:pPr>
        <w:pStyle w:val="Heading1"/>
        <w:spacing w:before="280" w:after="120"/>
      </w:pPr>
      <w:r>
        <w:t>CHAPTER 9: CONCLUSION, LIMITATIONS &amp; FUTURE ENHANCEMENTS</w:t>
      </w:r>
    </w:p>
    <w:p>
      <w:pPr>
        <w:pStyle w:val="Heading2"/>
        <w:spacing w:before="200" w:after="80"/>
      </w:pPr>
      <w:r>
        <w:t>9.1 Conclusion</w:t>
      </w:r>
    </w:p>
    <w:p>
      <w:pPr>
        <w:spacing w:before="0" w:after="100" w:line="276" w:lineRule="auto"/>
      </w:pPr>
      <w:r>
        <w:t>NyayaRoute establishes a new architectural paradigm for legal question answering by demonstrating that moving agentic decision-making prior to answer generation successfully eliminates hallucinations in legal AI. By uniting tri-modal routing, cross-encoder neural reranking, pre-generation evidence sufficiency gating, and real-time judicial scraping, the system delivers reliable, verifiable legal research assistance for Indian law.</w:t>
      </w:r>
    </w:p>
    <w:p>
      <w:pPr>
        <w:pStyle w:val="Heading2"/>
        <w:spacing w:before="200" w:after="80"/>
      </w:pPr>
      <w:r>
        <w:t>9.2 Limitations</w:t>
      </w:r>
    </w:p>
    <w:p>
      <w:pPr>
        <w:spacing w:before="0" w:after="100" w:line="276" w:lineRule="auto"/>
      </w:pPr>
      <w:r>
        <w:t>While highly effective, the current system exhibits two principal limitations: (1) Reliance on CPU-based cross-encoders introduces a slight latency overhead compared to single-pass vector search; (2) Live web search is constrained by rate-limiting on judicial portals.</w:t>
      </w:r>
    </w:p>
    <w:p>
      <w:pPr>
        <w:pStyle w:val="Heading2"/>
        <w:spacing w:before="200" w:after="80"/>
      </w:pPr>
      <w:r>
        <w:t>9.3 Future Enhancements</w:t>
      </w:r>
    </w:p>
    <w:p>
      <w:pPr>
        <w:spacing w:before="0" w:after="100" w:line="276" w:lineRule="auto"/>
      </w:pPr>
      <w:r>
        <w:t>1. Legal Knowledge Graphs: Incorporate graph-based citation networks to automatically detect overturned precedents (Shepardization).</w:t>
        <w:br/>
        <w:t>2. Multilingual Vernacular Support: Integrate Indic-BERT models to support legal Q&amp;A in Hindi, Telugu, and other regional languages.</w:t>
        <w:br/>
        <w:t>3. Edge Deployment: Quantize the cross-encoder and LLM for deployment on localized, air-gapped court infrastructure.</w:t>
      </w:r>
    </w:p>
    <w:p>
      <w:pPr>
        <w:pStyle w:val="Heading1"/>
        <w:spacing w:before="280" w:after="120"/>
      </w:pPr>
      <w:r>
        <w:t>REFERENCES</w:t>
      </w:r>
    </w:p>
    <w:p>
      <w:pPr>
        <w:spacing w:before="0" w:after="100" w:line="276" w:lineRule="auto"/>
        <w:ind w:left="432" w:hanging="432"/>
      </w:pPr>
      <w:r>
        <w:t>[1] J. J. Woo et al., 'Custom Large Language Models Improve Accuracy: Comparing RAG and AI Agents to Noncustom Models for Evidence-Based Medicine,' Arthroscopy: The Journal of Arthroscopic &amp; Related Surgery, 2025.</w:t>
      </w:r>
    </w:p>
    <w:p>
      <w:pPr>
        <w:spacing w:before="0" w:after="100" w:line="276" w:lineRule="auto"/>
        <w:ind w:left="432" w:hanging="432"/>
      </w:pPr>
      <w:r>
        <w:t>[2] L. Kong, G. Wang, N. Liu, T. Bai, and J. He, 'A Retrieval-Augmented Generation method based on Intent Analysis and Ranking Fusion,' 2024 7th International Conference on Data Science and Information Technology (DSIT), Nanjing, China, 2024, pp. 1–8.</w:t>
      </w:r>
    </w:p>
    <w:p>
      <w:pPr>
        <w:spacing w:before="0" w:after="100" w:line="276" w:lineRule="auto"/>
        <w:ind w:left="432" w:hanging="432"/>
      </w:pPr>
      <w:r>
        <w:t>[3] E. Mattos et al., 'Enhancing Retrieval-Augmented Generation through Modular Optimization: Evaluation Across the RAG Pipeline,' 2025 Symposium on Internet of Things (SIoT), Campinas, Brazil, 2025, pp. 1–4.</w:t>
      </w:r>
    </w:p>
    <w:p>
      <w:pPr>
        <w:spacing w:before="0" w:after="100" w:line="276" w:lineRule="auto"/>
        <w:ind w:left="432" w:hanging="432"/>
      </w:pPr>
      <w:r>
        <w:t>[4] E. Collini, F. Kurniadi, P. Nesi, and G. Pantaleo, 'Context-Aware Retrieval Augmented Generation Using Similarity Validation to Handle Context Inconsistencies in Large Language Models,' IEEE Access, vol. 13, pp. 170065–170080, 2025.</w:t>
      </w:r>
    </w:p>
    <w:p>
      <w:pPr>
        <w:spacing w:before="0" w:after="100" w:line="276" w:lineRule="auto"/>
        <w:ind w:left="432" w:hanging="432"/>
      </w:pPr>
      <w:r>
        <w:t>[5] J. Linders and J. M. Tomczak, 'Knowledge graph-extended retrieval augmented generation for question answering,' Applied Intelligence, vol. 55, p. 1102, 2025.</w:t>
      </w:r>
    </w:p>
    <w:p>
      <w:pPr>
        <w:spacing w:before="0" w:after="100" w:line="276" w:lineRule="auto"/>
        <w:ind w:left="432" w:hanging="432"/>
      </w:pPr>
      <w:r>
        <w:t>[6] Pradeesh N., Remya T., M. G. Thushara, K. Arun Krishna, and Pranav V., 'Retrieval-Augmented Generation for Multiple-Choice Questions and Answers Generation,' Procedia Computer Science, vol. 259, pp. 504–511, 2025.</w:t>
      </w:r>
    </w:p>
    <w:p>
      <w:pPr>
        <w:spacing w:before="0" w:after="100" w:line="276" w:lineRule="auto"/>
        <w:ind w:left="432" w:hanging="432"/>
      </w:pPr>
      <w:r>
        <w:t>[7] C. Zhang et al., 'TeaRAG: A Token-Efficient Agentic Retrieval-Augmented Generation Framework,' ACM Transactions on Information Systems, 2026, doi: 10.1145/3818621.</w:t>
      </w:r>
    </w:p>
    <w:p>
      <w:pPr>
        <w:spacing w:before="0" w:after="100" w:line="276" w:lineRule="auto"/>
        <w:ind w:left="432" w:hanging="432"/>
      </w:pPr>
      <w:r>
        <w:t>[8] Z. Penghao et al., 'Retrieval-Augmented Generation for AI-Generated Content: A Survey,' arXiv preprint arXiv:2402.19473, 2024.</w:t>
      </w:r>
    </w:p>
    <w:p>
      <w:pPr>
        <w:spacing w:before="0" w:after="100" w:line="276" w:lineRule="auto"/>
        <w:ind w:left="432" w:hanging="432"/>
      </w:pPr>
      <w:r>
        <w:t>[9] W. Tian and Y. Zhou, 'Hi-RAG: A hierarchical retrieval-augmented generation framework for scalable and generalisable tool selection in large language model agents,' arXiv preprint, 2025.</w:t>
      </w:r>
    </w:p>
    <w:p>
      <w:pPr>
        <w:spacing w:before="0" w:after="100" w:line="276" w:lineRule="auto"/>
        <w:ind w:left="432" w:hanging="432"/>
      </w:pPr>
      <w:r>
        <w:t>[10] J. Liang, G. Su, H. Lin, Y. Wu, R. Zhao, and Z. Li, 'Reasoning RAG via System 1 or System 2: A survey on reasoning agentic retrieval-augmented generation for industry challenges,' arXiv preprint,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