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BBD" w:rsidRDefault="002E4A21">
      <w:pPr>
        <w:pStyle w:val="Heading1"/>
      </w:pPr>
      <w:bookmarkStart w:id="0" w:name="draft-statement-of-objectives"/>
      <w:r>
        <w:t>DRAFT Statement of Objectives</w:t>
      </w:r>
      <w:bookmarkEnd w:id="0"/>
    </w:p>
    <w:p w:rsidR="004E7BBD" w:rsidRDefault="002E4A21">
      <w:pPr>
        <w:pStyle w:val="Heading2"/>
      </w:pPr>
      <w:bookmarkStart w:id="1" w:name="X39e2947223a00d546a1d8c2fa421b62b9fc4410"/>
      <w:r>
        <w:t>Smithsonian Institution National Museum of African American History and Culture</w:t>
      </w:r>
      <w:bookmarkEnd w:id="1"/>
    </w:p>
    <w:p w:rsidR="004E7BBD" w:rsidRDefault="002E4A21">
      <w:pPr>
        <w:pStyle w:val="Heading2"/>
      </w:pPr>
      <w:bookmarkStart w:id="2" w:name="Xdfe7801272d9fe0695f7af90577e50f777e22e3"/>
      <w:r>
        <w:t>Slavery and Freedom Digital Minimum Viable Product</w:t>
      </w:r>
      <w:bookmarkEnd w:id="2"/>
    </w:p>
    <w:p w:rsidR="004E7BBD" w:rsidRDefault="002E4A21">
      <w:pPr>
        <w:pStyle w:val="Heading3"/>
      </w:pPr>
      <w:bookmarkStart w:id="3" w:name="problem-statement"/>
      <w:r>
        <w:t>PROBLEM STATEMENT</w:t>
      </w:r>
      <w:bookmarkEnd w:id="3"/>
    </w:p>
    <w:p w:rsidR="004E7BBD" w:rsidRDefault="002E4A21">
      <w:pPr>
        <w:pStyle w:val="FirstParagraph"/>
      </w:pPr>
      <w:r>
        <w:t>SI NMAAHC’s slavery and freedom exhibit is limited in both the amount of people it can reach and the quantity of objects, artifacts, information and stories it can share with others. Only so many are able to visit the exhibit in Washington, DC, and the phy</w:t>
      </w:r>
      <w:r>
        <w:t>sical constraints of the exhibit only allow for a finite amount of objects, artifacts, information and stories.</w:t>
      </w:r>
    </w:p>
    <w:p w:rsidR="004E7BBD" w:rsidRDefault="002E4A21">
      <w:pPr>
        <w:pStyle w:val="BodyText"/>
      </w:pPr>
      <w:r w:rsidRPr="008C73A4">
        <w:rPr>
          <w:i/>
          <w:highlight w:val="yellow"/>
        </w:rPr>
        <w:t>vendors - What questions do you have about this problem statement?</w:t>
      </w:r>
    </w:p>
    <w:p w:rsidR="004E7BBD" w:rsidRDefault="002E4A21">
      <w:pPr>
        <w:pStyle w:val="Heading3"/>
      </w:pPr>
      <w:bookmarkStart w:id="4" w:name="product-vision"/>
      <w:r>
        <w:t>PRODUCT VISION</w:t>
      </w:r>
      <w:bookmarkEnd w:id="4"/>
    </w:p>
    <w:p w:rsidR="004E7BBD" w:rsidRDefault="002E4A21">
      <w:pPr>
        <w:pStyle w:val="FirstParagraph"/>
      </w:pPr>
      <w:r>
        <w:t>Our digital product creates for the world (is this our users?)</w:t>
      </w:r>
      <w:r>
        <w:t xml:space="preserve"> an engaging, emotional and educational digital experience of NMAAHC’s (and partners?) body of knowledge for slavery and freedom (that took place in the United States of America between 1400 and 1877?), in a way that promotes discovery in an inclusive way,</w:t>
      </w:r>
      <w:r>
        <w:t xml:space="preserve"> increases empathy, and helps understand our world (or just our country?) today.</w:t>
      </w:r>
      <w:r>
        <w:br/>
      </w:r>
      <w:r>
        <w:rPr>
          <w:i/>
        </w:rPr>
        <w:t>note: the above product vision was developed using key ideas coming out of the invididual product visions co-designed on 6/6/2019. vendors - What questions do you have about t</w:t>
      </w:r>
      <w:r>
        <w:rPr>
          <w:i/>
        </w:rPr>
        <w:t>he product vision? What do you need further clarity on?</w:t>
      </w:r>
    </w:p>
    <w:p w:rsidR="004E7BBD" w:rsidRDefault="002E4A21">
      <w:pPr>
        <w:pStyle w:val="Heading3"/>
      </w:pPr>
      <w:bookmarkStart w:id="5" w:name="background"/>
      <w:r>
        <w:t>BACKGROUND</w:t>
      </w:r>
      <w:bookmarkEnd w:id="5"/>
    </w:p>
    <w:p w:rsidR="004E7BBD" w:rsidRDefault="002E4A21">
      <w:pPr>
        <w:pStyle w:val="FirstParagraph"/>
      </w:pPr>
      <w:r>
        <w:t>The Smithsonian Instituion’s National Museum of African American History and Culture … (NMAAHC to fill in content here)</w:t>
      </w:r>
    </w:p>
    <w:p w:rsidR="004E7BBD" w:rsidRDefault="002E4A21">
      <w:pPr>
        <w:pStyle w:val="BodyText"/>
      </w:pPr>
      <w:r>
        <w:t>The current physical Slavery and Freedom Exhibit at NMAAHC explores t</w:t>
      </w:r>
      <w:r>
        <w:t>he complex story of slavery and freedom which rests at the core of our nation’s shared history. The exhibition begins in 15th century Africa and Europe, extends up through the founding of the United States, and concludes with the nation’s transformation du</w:t>
      </w:r>
      <w:r>
        <w:t>ring the Civil War and Reconstruction.</w:t>
      </w:r>
    </w:p>
    <w:p w:rsidR="004E7BBD" w:rsidRDefault="002E4A21">
      <w:pPr>
        <w:pStyle w:val="BodyText"/>
      </w:pPr>
      <w:r>
        <w:t xml:space="preserve">Through powerful objects and first person accounts, visitors encounter both free and enslaved African Americans’ contributions to the making of America and explore the economic and political legacies of the making of </w:t>
      </w:r>
      <w:r>
        <w:t>modern slavery. The exhibition emphasizes that American slavery and American freedom is a shared history and that the actions of ordinary men and women, demanding freedom, transformed our nation.</w:t>
      </w:r>
    </w:p>
    <w:p w:rsidR="004E7BBD" w:rsidRDefault="002E4A21">
      <w:pPr>
        <w:pStyle w:val="BodyText"/>
      </w:pPr>
      <w:r>
        <w:t>Priceless objects provide the visitor with a personal experi</w:t>
      </w:r>
      <w:r>
        <w:t xml:space="preserve">ence with the past. One cannot view Harriet Tubman’s shawl, Nat Turner’s Bible, the small shackles made for the fragile </w:t>
      </w:r>
      <w:r>
        <w:lastRenderedPageBreak/>
        <w:t>ankles of a child, or a slave cabin without contemplating the individuals who owned or encountered such objects. Such powerful artifacts</w:t>
      </w:r>
      <w:r>
        <w:t xml:space="preserve"> bring to life the stories of inhumanity and terror, and of resistance, resilience and survival. Objects open up conversations and dialogue and provide a space for Americans to reach out beyond themselves to recognize a shared past.</w:t>
      </w:r>
    </w:p>
    <w:p w:rsidR="004E7BBD" w:rsidRDefault="002E4A21">
      <w:pPr>
        <w:pStyle w:val="BodyText"/>
      </w:pPr>
      <w:r>
        <w:t>Main Messages:</w:t>
      </w:r>
      <w:r>
        <w:br/>
        <w:t>* Slaver</w:t>
      </w:r>
      <w:r>
        <w:t>y is a shared story resting at the heart of American political, economic, and cultural life. * African Americans constantly and consistently created new visions of freedom that have benefited all Americans. * African American identity has many roots and ma</w:t>
      </w:r>
      <w:r>
        <w:t>ny expressions that reach far back into our past.</w:t>
      </w:r>
    </w:p>
    <w:p w:rsidR="004E7BBD" w:rsidRDefault="002E4A21">
      <w:pPr>
        <w:pStyle w:val="BodyText"/>
      </w:pPr>
      <w:r>
        <w:t>(reference: https://nmaahc.si.edu/slavery-and-freedom)</w:t>
      </w:r>
    </w:p>
    <w:p w:rsidR="004E7BBD" w:rsidRDefault="002E4A21">
      <w:pPr>
        <w:pStyle w:val="BodyText"/>
      </w:pPr>
      <w:r>
        <w:t>End users are not yet identified. However, NMAAHC has several hypotheses, including the following:</w:t>
      </w:r>
      <w:r>
        <w:br/>
        <w:t xml:space="preserve">* Would be museum visitors who find it difficult to </w:t>
      </w:r>
      <w:r>
        <w:t>physically travel to the museum * Visitors of the physical museum who would like to further experience the exhibit afterwards * K-12th grade classrooms that would like to leverage the exhibit although physically visiting the museum is difficult However, th</w:t>
      </w:r>
      <w:r>
        <w:t>e above-mentioned hypothetical users should not be understood as the actual, or only, end users. The scope of the anticipated contract(s) will require the vendor to conduct discover and user research to assist in a more clear identification of end users.</w:t>
      </w:r>
    </w:p>
    <w:p w:rsidR="004E7BBD" w:rsidRDefault="002E4A21">
      <w:pPr>
        <w:pStyle w:val="BodyText"/>
      </w:pPr>
      <w:r>
        <w:t>T</w:t>
      </w:r>
      <w:r>
        <w:t>his project will be executed in a manner consistent with best practices from the Digital Services Playbook(1) and the TechFAR Handbook(2). The vendor will provide a cross-functional team of software engineers, user researchers, designers, and product manag</w:t>
      </w:r>
      <w:r>
        <w:t>ers to drive the repeatable process for the delivery of a functional software minimum viable product that is pleasing to end users.</w:t>
      </w:r>
    </w:p>
    <w:p w:rsidR="004E7BBD" w:rsidRDefault="002E4A21">
      <w:pPr>
        <w:pStyle w:val="BodyText"/>
      </w:pPr>
      <w:r w:rsidRPr="008C73A4">
        <w:rPr>
          <w:i/>
          <w:highlight w:val="yellow"/>
        </w:rPr>
        <w:t>vendors - what additional background information would you like?</w:t>
      </w:r>
    </w:p>
    <w:p w:rsidR="004E7BBD" w:rsidRDefault="002E4A21">
      <w:pPr>
        <w:pStyle w:val="Heading3"/>
      </w:pPr>
      <w:bookmarkStart w:id="6" w:name="definitions"/>
      <w:r>
        <w:t>DEFINITIONS</w:t>
      </w:r>
      <w:bookmarkEnd w:id="6"/>
    </w:p>
    <w:p w:rsidR="004E7BBD" w:rsidRDefault="002E4A21">
      <w:pPr>
        <w:pStyle w:val="FirstParagraph"/>
      </w:pPr>
      <w:r>
        <w:t>Attorney/Advisor: SI employee with the authorit</w:t>
      </w:r>
      <w:r>
        <w:t>y to contractually bind the agency</w:t>
      </w:r>
      <w:r>
        <w:br/>
        <w:t>Light-Weight Prototype: A preliminary visualization of a working product</w:t>
      </w:r>
      <w:r>
        <w:br/>
        <w:t xml:space="preserve">Minimum Viable Product (MVP): The smallest amount of functionality that can be delivered without the additional criteria of being sufficient enough </w:t>
      </w:r>
      <w:r>
        <w:t>to learn about the usefulness of the product to end users. In addition, when an end user engages with the MVP, they need to feel something powerful.</w:t>
      </w:r>
      <w:r>
        <w:br/>
        <w:t>NMAAHC: National Museum of African American History and Culture</w:t>
      </w:r>
      <w:r>
        <w:br/>
        <w:t>SI: Smithsonian Institution</w:t>
      </w:r>
    </w:p>
    <w:p w:rsidR="004E7BBD" w:rsidRDefault="002E4A21">
      <w:pPr>
        <w:pStyle w:val="Heading3"/>
      </w:pPr>
      <w:bookmarkStart w:id="7" w:name="applicable-documents"/>
      <w:r>
        <w:t>APPLICABLE DOCU</w:t>
      </w:r>
      <w:r>
        <w:t>MENTS</w:t>
      </w:r>
      <w:bookmarkEnd w:id="7"/>
    </w:p>
    <w:p w:rsidR="004E7BBD" w:rsidRDefault="002E4A21">
      <w:pPr>
        <w:pStyle w:val="Compact"/>
        <w:numPr>
          <w:ilvl w:val="0"/>
          <w:numId w:val="2"/>
        </w:numPr>
      </w:pPr>
      <w:r>
        <w:t>Section 508 of the Rehabilitation Act of 1973</w:t>
      </w:r>
    </w:p>
    <w:p w:rsidR="004E7BBD" w:rsidRDefault="002E4A21">
      <w:pPr>
        <w:pStyle w:val="Compact"/>
        <w:numPr>
          <w:ilvl w:val="0"/>
          <w:numId w:val="2"/>
        </w:numPr>
      </w:pPr>
      <w:r>
        <w:t>(SI &amp; NMAAHC to fill in more information here, as necessary)</w:t>
      </w:r>
    </w:p>
    <w:p w:rsidR="004E7BBD" w:rsidRDefault="002E4A21">
      <w:pPr>
        <w:pStyle w:val="Heading3"/>
      </w:pPr>
      <w:bookmarkStart w:id="8" w:name="digital-services-maturity"/>
      <w:r>
        <w:lastRenderedPageBreak/>
        <w:t>DIGITAL SERVICES MATURITY</w:t>
      </w:r>
      <w:bookmarkEnd w:id="8"/>
    </w:p>
    <w:p w:rsidR="004E7BBD" w:rsidRDefault="002E4A21">
      <w:pPr>
        <w:pStyle w:val="FirstParagraph"/>
      </w:pPr>
      <w:r>
        <w:t>In preparation for this project, approximately 8 SI individuals took a self-assessment using the Digital Service Matu</w:t>
      </w:r>
      <w:r>
        <w:t>rity Determination Tool (https://techfarhub.cio.gov/learning-center/agile-maturity/) on 5/30/2019. The following provides average scores from that self-assessment. During the post-assessment discussion, the agency indicated that the self-scores were optimi</w:t>
      </w:r>
      <w:r>
        <w:t>stic rather than reflecting current state.</w:t>
      </w:r>
    </w:p>
    <w:p w:rsidR="004E7BBD" w:rsidRDefault="002E4A21">
      <w:pPr>
        <w:pStyle w:val="BodyText"/>
      </w:pPr>
      <w:r>
        <w:t>Transparency &amp; Openness: 3.1 (adopted some practices)</w:t>
      </w:r>
      <w:r>
        <w:br/>
        <w:t>Organizational Culture of Delivery: 3.0 (adopted some practices)</w:t>
      </w:r>
      <w:r>
        <w:br/>
        <w:t>Craftsmanship: 3.25 (adopted some practices)</w:t>
      </w:r>
      <w:r>
        <w:br/>
        <w:t>Agile Development Championship: 3.25 (adopted som</w:t>
      </w:r>
      <w:r>
        <w:t>e practices)</w:t>
      </w:r>
      <w:r>
        <w:br/>
        <w:t>User Centered Design: 2.9 (adopted some practices)</w:t>
      </w:r>
      <w:r>
        <w:br/>
        <w:t>Product Delivery: 2.9 (adopted some practices)</w:t>
      </w:r>
      <w:r>
        <w:br/>
        <w:t>Continuous Integration: 2.9 (adopted some practices)</w:t>
      </w:r>
      <w:r>
        <w:br/>
        <w:t>Clean Code: 2.9 (adopted some practices)</w:t>
      </w:r>
      <w:r>
        <w:br/>
        <w:t>Acquisition: 2.6 (in between awareness of some topi</w:t>
      </w:r>
      <w:r>
        <w:t>cs with limited adoption and adopted some practices)</w:t>
      </w:r>
    </w:p>
    <w:p w:rsidR="004E7BBD" w:rsidRDefault="002E4A21">
      <w:pPr>
        <w:pStyle w:val="BodyText"/>
      </w:pPr>
      <w:r>
        <w:t>As of now, NMAAHC will have 4-5 people who will collectively serve as the Product Owner for this product. In previous situations, there could have been more people involved in this role. So this is an im</w:t>
      </w:r>
      <w:r>
        <w:t>provement.</w:t>
      </w:r>
    </w:p>
    <w:p w:rsidR="004E7BBD" w:rsidRDefault="002E4A21">
      <w:pPr>
        <w:pStyle w:val="Heading3"/>
      </w:pPr>
      <w:bookmarkStart w:id="9" w:name="appendix"/>
      <w:r>
        <w:t>Appendix</w:t>
      </w:r>
      <w:bookmarkEnd w:id="9"/>
    </w:p>
    <w:p w:rsidR="004E7BBD" w:rsidRDefault="002E4A21">
      <w:pPr>
        <w:pStyle w:val="Heading4"/>
      </w:pPr>
      <w:bookmarkStart w:id="10" w:name="answering-known-unknowns"/>
      <w:r>
        <w:t>Answering Known Unknowns</w:t>
      </w:r>
      <w:bookmarkEnd w:id="10"/>
    </w:p>
    <w:p w:rsidR="004E7BBD" w:rsidRDefault="002E4A21">
      <w:pPr>
        <w:pStyle w:val="FirstParagraph"/>
      </w:pPr>
      <w:r>
        <w:t>During the June 6, 2019 Co-Designing Procurement event at NMAAHC, vendors indicated a number of known unknowns about various items related to this procurement. Those questions are found directly below, along with answers that Smithsonian has provided in re</w:t>
      </w:r>
      <w:r>
        <w:t>sponse.</w:t>
      </w:r>
    </w:p>
    <w:p w:rsidR="004E7BBD" w:rsidRDefault="002E4A21">
      <w:pPr>
        <w:pStyle w:val="BodyText"/>
      </w:pPr>
      <w:r>
        <w:t>Unknown: Depth of exhibit detail?</w:t>
      </w:r>
      <w:r>
        <w:br/>
        <w:t>SI Response: TBD</w:t>
      </w:r>
    </w:p>
    <w:p w:rsidR="004E7BBD" w:rsidRDefault="002E4A21">
      <w:pPr>
        <w:pStyle w:val="BodyText"/>
      </w:pPr>
      <w:r>
        <w:t>Uknown: Will we meet 12-month schedule?</w:t>
      </w:r>
      <w:r>
        <w:br/>
        <w:t>SI Response:</w:t>
      </w:r>
    </w:p>
    <w:p w:rsidR="004E7BBD" w:rsidRDefault="002E4A21">
      <w:pPr>
        <w:pStyle w:val="BodyText"/>
      </w:pPr>
      <w:r>
        <w:t>Uknown: Who are the users? (who is the) future digital audience? Do you have access to users?</w:t>
      </w:r>
      <w:r>
        <w:br/>
        <w:t xml:space="preserve">SI Response: Discovery scope will help inform who </w:t>
      </w:r>
      <w:r>
        <w:t>the users are. Yes vendors will have access to users.</w:t>
      </w:r>
    </w:p>
    <w:p w:rsidR="004E7BBD" w:rsidRDefault="002E4A21">
      <w:pPr>
        <w:pStyle w:val="BodyText"/>
      </w:pPr>
      <w:r>
        <w:t>Uknown: How to replicate impact digitally? How to translate experience digitally?</w:t>
      </w:r>
      <w:r>
        <w:br/>
        <w:t>SI Response:</w:t>
      </w:r>
    </w:p>
    <w:p w:rsidR="004E7BBD" w:rsidRDefault="002E4A21">
      <w:pPr>
        <w:pStyle w:val="BodyText"/>
      </w:pPr>
      <w:r>
        <w:t>Uknown: Cost?</w:t>
      </w:r>
      <w:r>
        <w:br/>
        <w:t>SI Response: It’s hard to imagine a team size (FTEs) of less than 5 or larger than 10. We are</w:t>
      </w:r>
      <w:r>
        <w:t xml:space="preserve"> </w:t>
      </w:r>
      <w:r>
        <w:lastRenderedPageBreak/>
        <w:t>communicating this to ensure that vendors and SI are in the same ‘ball park’ for price. This may evolve since SI is still in the market research phase.</w:t>
      </w:r>
    </w:p>
    <w:p w:rsidR="004E7BBD" w:rsidRDefault="002E4A21">
      <w:pPr>
        <w:pStyle w:val="BodyText"/>
      </w:pPr>
      <w:r>
        <w:t>Uknown: (Will there be) onboarding problems?</w:t>
      </w:r>
      <w:r>
        <w:br/>
        <w:t>SI Response: SI has levels related onboarding needs. SI is</w:t>
      </w:r>
      <w:r>
        <w:t xml:space="preserve"> normally able to onboard individuals within 30 days, which is for the most complicated level. An example of a lighter level is email and network account which is normall completed in less than 2 weeks, including access to collaboration tools such as JIRA </w:t>
      </w:r>
      <w:r>
        <w:t>and Confluence. However, full access to SI’s internal development environments will take longer (such as 30 days).</w:t>
      </w:r>
    </w:p>
    <w:p w:rsidR="004E7BBD" w:rsidRDefault="002E4A21">
      <w:pPr>
        <w:pStyle w:val="BodyText"/>
      </w:pPr>
      <w:r>
        <w:t xml:space="preserve">Uknown: Lifespan of product? Transition strategy (maintenance)? Tolerance for ongoing support and creation? Extensibility, expectations? How </w:t>
      </w:r>
      <w:r>
        <w:t>will the presence/exhibit grow?</w:t>
      </w:r>
      <w:r>
        <w:br/>
        <w:t xml:space="preserve">SI Response: The lifespan for the product should be indefinite assuming it is successful and accessible to the public. For transition strategy and how to grow the product, we are not yet sure. That said, the user experience </w:t>
      </w:r>
      <w:r>
        <w:t>needs to be scalable, and the idea is we shoudl keep in mind that it is possible to grow it to the other exhibits in the museum. There is not an expectation that this initial MVP will necessarily become the platform for digital products related to other ex</w:t>
      </w:r>
      <w:r>
        <w:t>hibits. So there may be future, separate efforts, for more platform work where this and many other digital products might be built upon. For transition strategy, a scenario where this could become more important is if a vendor really wants to build in an M</w:t>
      </w:r>
      <w:r>
        <w:t>icrosoft Azure environment which would be new to NMAAHC since the museum currently uses Amazon Web Services (AWS). Then NMAAHC would need to understand more about how you as a vendor could transition the NMAAHC from AWS to Azure.</w:t>
      </w:r>
    </w:p>
    <w:p w:rsidR="004E7BBD" w:rsidRDefault="002E4A21">
      <w:pPr>
        <w:pStyle w:val="BodyText"/>
      </w:pPr>
      <w:r>
        <w:t>Uknown: Connect with other</w:t>
      </w:r>
      <w:r>
        <w:t xml:space="preserve"> museums/sources?</w:t>
      </w:r>
      <w:r>
        <w:br/>
        <w:t>SI Response: For the purposees of this MVP, that might just look like linking to or embedding other online resourcs from other museums, libraries, and universities. So it would not look like a requirement to build an API from an outside s</w:t>
      </w:r>
      <w:r>
        <w:t>ource to pull in information from, for example, a university.</w:t>
      </w:r>
    </w:p>
    <w:p w:rsidR="004E7BBD" w:rsidRDefault="002E4A21">
      <w:pPr>
        <w:pStyle w:val="BodyText"/>
      </w:pPr>
      <w:r>
        <w:t>Uknown: TRB (Technical Review Board) process?</w:t>
      </w:r>
      <w:r>
        <w:br/>
        <w:t xml:space="preserve">SI Response: Yes there is a TRB process. More details can be provided at a later time. However, at contract close out, all work will subject to the </w:t>
      </w:r>
      <w:r>
        <w:t>technical review and privacy board. Note that there is no anticipation of PCI or PII for this MVP. As far as effort related to the TRB process, if there is an exploit or vulnerability in the MVP/product, the vendor would need to address/fix that prior to f</w:t>
      </w:r>
      <w:r>
        <w:t>inal payment and contract close out. However, the hope is that quality and testing has been done at the iteration level and therefore will be a small issue, if any, at time of TRB and close out.</w:t>
      </w:r>
    </w:p>
    <w:p w:rsidR="004E7BBD" w:rsidRDefault="002E4A21">
      <w:pPr>
        <w:pStyle w:val="BodyText"/>
      </w:pPr>
      <w:r>
        <w:t>Uknown: Accessibility needs for web, language, visual, etc.?</w:t>
      </w:r>
      <w:r>
        <w:br/>
      </w:r>
      <w:r>
        <w:t>SI Response: This subject will be covered in more detail in the final RFP/RFQ. For this MVP, NMAAHC is only interested in English; no translation is envisioned. For 508 compliance and ADA-related issues, those will need to be met. That is part of the TRB’s</w:t>
      </w:r>
      <w:r>
        <w:t xml:space="preserve"> review and quality assurance (QA) process. NMAAHC has some tools for that QA process.</w:t>
      </w:r>
    </w:p>
    <w:p w:rsidR="004E7BBD" w:rsidRDefault="002E4A21">
      <w:pPr>
        <w:pStyle w:val="BodyText"/>
      </w:pPr>
      <w:r>
        <w:t>Uknown: Licensing issues for exhibition objects?</w:t>
      </w:r>
      <w:r>
        <w:br/>
        <w:t>SI Response: SI is undecided on whether SI will procure licenses or if the vendor will procure licenses. So either (1) S</w:t>
      </w:r>
      <w:r>
        <w:t xml:space="preserve">I will procure it and pay for this directly, or (2) anything </w:t>
      </w:r>
      <w:r>
        <w:lastRenderedPageBreak/>
        <w:t>new will be procured by the vendor and be paid for under the Other Direct Costs CLIN in the contract.</w:t>
      </w:r>
    </w:p>
    <w:p w:rsidR="004E7BBD" w:rsidRDefault="002E4A21">
      <w:pPr>
        <w:pStyle w:val="BodyText"/>
      </w:pPr>
      <w:r>
        <w:t>Uknown: How much support from back-end systems</w:t>
      </w:r>
      <w:r>
        <w:br/>
        <w:t>SI Response: As with previous NMAAHC RFPs, the</w:t>
      </w:r>
      <w:r>
        <w:t>re will be a section of what technical resources that SI will make available to the vendor. For example, providing the details about the AWS environments that vendors will have access to. NMAAHC will indicate what the museum can make available. Another exa</w:t>
      </w:r>
      <w:r>
        <w:t>mple is: for existing collection, NMAAHC can provide a search API for some objects, or NMAAHC can provide an XML dump.</w:t>
      </w:r>
    </w:p>
    <w:p w:rsidR="004E7BBD" w:rsidRDefault="002E4A21">
      <w:pPr>
        <w:pStyle w:val="BodyText"/>
      </w:pPr>
      <w:r>
        <w:t>Uknown: Current visitor feedback - physical museum and current digital experience?</w:t>
      </w:r>
      <w:r>
        <w:br/>
        <w:t>SI Response: NMAAHC will receive a front end evaluatio</w:t>
      </w:r>
      <w:r>
        <w:t>n with Smithsonian Organizational and Audience Research (SOAR), and that evaluation will be available to the vendor. Also, NMAAHC Visitor Services may collect visitor surveys but not necessarily for this project. For the digital experience, NMAAHC has data</w:t>
      </w:r>
      <w:r>
        <w:t xml:space="preserve"> from google analytics, but perhaps not survey information.</w:t>
      </w:r>
    </w:p>
    <w:p w:rsidR="004E7BBD" w:rsidRDefault="002E4A21">
      <w:pPr>
        <w:pStyle w:val="BodyText"/>
      </w:pPr>
      <w:r>
        <w:t>Uknown: What are their (SI’s) strategies for adoption in place or need to be included?</w:t>
      </w:r>
      <w:r>
        <w:br/>
        <w:t>SI Response:</w:t>
      </w:r>
    </w:p>
    <w:p w:rsidR="004E7BBD" w:rsidRDefault="002E4A21">
      <w:pPr>
        <w:pStyle w:val="BodyText"/>
      </w:pPr>
      <w:r>
        <w:t>Uknown: How are we adding new content? How much of the catalog/content is not even on display, t</w:t>
      </w:r>
      <w:r>
        <w:t>hat may translate better onlineHow much content is in ready state vs. needs production cost/build? Content moderation? Full extent and artifacts; multimedia- music, text, etc. SI Response:</w:t>
      </w:r>
    </w:p>
    <w:p w:rsidR="004E7BBD" w:rsidRDefault="002E4A21">
      <w:pPr>
        <w:pStyle w:val="BodyText"/>
      </w:pPr>
      <w:r>
        <w:t>Uknonwn: User research for digital exhibit? User research for curre</w:t>
      </w:r>
      <w:r>
        <w:t>nt exhibit? How will design/product research be performed?</w:t>
      </w:r>
      <w:r>
        <w:br/>
        <w:t>SI Response: Vendors will have access to this existing research, but we’ll need to confirm the details of what is available.</w:t>
      </w:r>
    </w:p>
    <w:p w:rsidR="004E7BBD" w:rsidRDefault="002E4A21">
      <w:pPr>
        <w:pStyle w:val="BodyText"/>
      </w:pPr>
      <w:r>
        <w:t>Uknown: Is there an existing brand strategy?</w:t>
      </w:r>
      <w:r>
        <w:br/>
        <w:t>SI Response: Yes NMAAHC’s m</w:t>
      </w:r>
      <w:r>
        <w:t>arketing and public affairs team have an existing brand strategy. Designs for the MVP are not constrained by current design patterns and visual style guides for existing digital products However, NMAAHC marketing / public affairs offices will be key stakeh</w:t>
      </w:r>
      <w:r>
        <w:t>olders throughout the design and development process of the MVP.</w:t>
      </w:r>
    </w:p>
    <w:p w:rsidR="004E7BBD" w:rsidRDefault="002E4A21">
      <w:pPr>
        <w:pStyle w:val="BodyText"/>
      </w:pPr>
      <w:r>
        <w:t>Uknown: Are there experiences we can use for reference?</w:t>
      </w:r>
      <w:r>
        <w:br/>
        <w:t>SI Response: A majore news publication anticipates releasing a digital product having to do with a similar subject, and NMAAHC can prov</w:t>
      </w:r>
      <w:r>
        <w:t>ide feedback to vendors once that publication’s product is launched.</w:t>
      </w:r>
    </w:p>
    <w:p w:rsidR="004E7BBD" w:rsidRDefault="002E4A21">
      <w:pPr>
        <w:pStyle w:val="BodyText"/>
      </w:pPr>
      <w:r>
        <w:t>Uknown: Which elements of the experience provides the most value to the audience?</w:t>
      </w:r>
      <w:r>
        <w:br/>
        <w:t>SI Response: This will be dependent on user research.</w:t>
      </w:r>
    </w:p>
    <w:p w:rsidR="004E7BBD" w:rsidRDefault="002E4A21">
      <w:pPr>
        <w:pStyle w:val="BodyText"/>
      </w:pPr>
      <w:r>
        <w:t>Uknown: What is the capacity for technology at the museum?</w:t>
      </w:r>
      <w:r>
        <w:br/>
        <w:t>SI Response: High</w:t>
      </w:r>
    </w:p>
    <w:p w:rsidR="004E7BBD" w:rsidRDefault="002E4A21">
      <w:pPr>
        <w:pStyle w:val="BodyText"/>
      </w:pPr>
      <w:r>
        <w:lastRenderedPageBreak/>
        <w:t>Uknown: What is success? (What is the) big vision? What is the desired impact? (What are the) desired outcomes? What does success look like?</w:t>
      </w:r>
      <w:r>
        <w:br/>
        <w:t>SI Response:</w:t>
      </w:r>
    </w:p>
    <w:p w:rsidR="004E7BBD" w:rsidRDefault="002E4A21">
      <w:pPr>
        <w:pStyle w:val="BodyText"/>
      </w:pPr>
      <w:r>
        <w:t>Uknown: (What are your) m</w:t>
      </w:r>
      <w:r>
        <w:t>etrics?</w:t>
      </w:r>
      <w:r>
        <w:br/>
        <w:t>SI Response: NMAAHC has some core digital metrics, but metrics for this specific product will likely become apparent only after user research. Yes NMAAHC already has technical analytics, but TBD is what specifically will be capturing for this MVP/p</w:t>
      </w:r>
      <w:r>
        <w:t>roduct.</w:t>
      </w:r>
    </w:p>
    <w:p w:rsidR="004E7BBD" w:rsidRDefault="002E4A21">
      <w:pPr>
        <w:pStyle w:val="BodyText"/>
      </w:pPr>
      <w:r>
        <w:t>Uknown: Stakeholder management?</w:t>
      </w:r>
      <w:r>
        <w:br/>
        <w:t>SI Response:</w:t>
      </w:r>
    </w:p>
    <w:p w:rsidR="004E7BBD" w:rsidRDefault="002E4A21">
      <w:pPr>
        <w:pStyle w:val="BodyText"/>
      </w:pPr>
      <w:r>
        <w:t>Uknown: Layering?</w:t>
      </w:r>
      <w:r>
        <w:br/>
        <w:t>SI Response: Yes there will be layers. The amount of layers is TBD and will likely remain so until user research is under way. It is possible that layering may be different for differen</w:t>
      </w:r>
      <w:r>
        <w:t>t sections of the MVP. These decisions should come out in prioritization when the time comes to look at the road map, epics, etc, all of which will occur after unitial user research.</w:t>
      </w:r>
    </w:p>
    <w:p w:rsidR="004E7BBD" w:rsidRDefault="002E4A21">
      <w:pPr>
        <w:pStyle w:val="BodyText"/>
      </w:pPr>
      <w:r>
        <w:t>Uknown: What’s the best first step?</w:t>
      </w:r>
      <w:r>
        <w:br/>
        <w:t>SI Response:</w:t>
      </w:r>
    </w:p>
    <w:p w:rsidR="004E7BBD" w:rsidRDefault="002E4A21">
      <w:pPr>
        <w:pStyle w:val="BodyText"/>
      </w:pPr>
      <w:r>
        <w:t>Uknown: What is complian</w:t>
      </w:r>
      <w:r>
        <w:t>ce and regulations at the agency level?</w:t>
      </w:r>
      <w:r>
        <w:br/>
        <w:t>SI Response:</w:t>
      </w:r>
    </w:p>
    <w:p w:rsidR="004E7BBD" w:rsidRDefault="002E4A21">
      <w:pPr>
        <w:pStyle w:val="BodyText"/>
      </w:pPr>
      <w:r>
        <w:t>Uknown: Attitude for embracing failure as an organization? Willingness to consider a new way? (Ability to embrace) change? Ability to embrace ambiguity? Appetite or constraints to beta test MVP?</w:t>
      </w:r>
      <w:r>
        <w:br/>
        <w:t>SI Respo</w:t>
      </w:r>
      <w:r>
        <w:t>nse:</w:t>
      </w:r>
    </w:p>
    <w:p w:rsidR="004E7BBD" w:rsidRDefault="002E4A21">
      <w:pPr>
        <w:pStyle w:val="BodyText"/>
      </w:pPr>
      <w:r>
        <w:t>Uknown: Social media? What are the marketing/promotional goals?</w:t>
      </w:r>
      <w:r>
        <w:br/>
      </w:r>
      <w:r>
        <w:t>SI Response: Yes, there will be marketing and public affairs will be involved in the larger proejct, but this is not yet developed to date. we’re goign to tell people about using our other existing channels. and it will be important for the vendor to engag</w:t>
      </w:r>
      <w:r>
        <w:t>e with SI marketing and comms prior to the vendor doing their own comms relating to the digital product.</w:t>
      </w:r>
    </w:p>
    <w:p w:rsidR="004E7BBD" w:rsidRDefault="002E4A21">
      <w:pPr>
        <w:pStyle w:val="BodyText"/>
      </w:pPr>
      <w:r>
        <w:t>Uknown: Appetite for incremental delivery?</w:t>
      </w:r>
      <w:r>
        <w:br/>
        <w:t>SI Response: Very high.</w:t>
      </w:r>
    </w:p>
    <w:p w:rsidR="004E7BBD" w:rsidRDefault="002E4A21">
      <w:pPr>
        <w:pStyle w:val="BodyText"/>
      </w:pPr>
      <w:r>
        <w:t>Uknown: What is the relationship between SI and NMAAHC - technology, governance, com</w:t>
      </w:r>
      <w:r>
        <w:t>ms?</w:t>
      </w:r>
      <w:r>
        <w:br/>
        <w:t>SI Response: NMAAHC is one of 20 units/museums. There are various levels of shared services. For example, the Office of the Chief Information Officer (OCIO) is agency-wide and therefore across all 20 units/museums. NMAAHC works closely and in tandem wi</w:t>
      </w:r>
      <w:r>
        <w:t>th OCIO. As another example, brand strategy at each museum does their own coordination, but each museum’s brand strategy rolls up into the umbrella policy for SI as a whole.</w:t>
      </w:r>
    </w:p>
    <w:p w:rsidR="004E7BBD" w:rsidRDefault="002E4A21">
      <w:pPr>
        <w:pStyle w:val="BodyText"/>
      </w:pPr>
      <w:r>
        <w:t>Uknown: Will stakeholders/Product Owner(s) be engaged/empowered? Who is the ultima</w:t>
      </w:r>
      <w:r>
        <w:t>te decision-maker/Product Owner?</w:t>
      </w:r>
      <w:r>
        <w:br/>
      </w:r>
      <w:r>
        <w:lastRenderedPageBreak/>
        <w:t>SI Response: The Product Owner(s) will be completely engaged. NMAAHC will share the existing RACI chart for this project which indicates who makes what decisions.</w:t>
      </w:r>
    </w:p>
    <w:p w:rsidR="004E7BBD" w:rsidRDefault="002E4A21">
      <w:pPr>
        <w:pStyle w:val="BodyText"/>
      </w:pPr>
      <w:r>
        <w:t>Uknown: Technical implementation?</w:t>
      </w:r>
      <w:r>
        <w:br/>
        <w:t>SI Response:</w:t>
      </w:r>
    </w:p>
    <w:p w:rsidR="004E7BBD" w:rsidRDefault="002E4A21">
      <w:pPr>
        <w:pStyle w:val="BodyText"/>
      </w:pPr>
      <w:r>
        <w:t>Uknown: (What</w:t>
      </w:r>
      <w:r>
        <w:t xml:space="preserve"> are the) constraints on design (including) format (eg length), media (eg audio), etc.?</w:t>
      </w:r>
      <w:r>
        <w:br/>
        <w:t>SI Response: TBD. The experience is meant to span the entirety of the exhibition experience. However, it isn’t intended to be complete in the sense of all of the object</w:t>
      </w:r>
      <w:r>
        <w:t>s and such (every one of the 1,000’s of objects and 1,000’s of stories).</w:t>
      </w:r>
    </w:p>
    <w:p w:rsidR="004E7BBD" w:rsidRDefault="002E4A21">
      <w:pPr>
        <w:pStyle w:val="BodyText"/>
      </w:pPr>
      <w:r>
        <w:t>Uknown: (It sounds like) in-person informs digital, instead of other way around. Can we experiment in digital before changing exhibit?</w:t>
      </w:r>
      <w:r>
        <w:br/>
        <w:t>SI Response: NMAAHC is not inticpating changes t</w:t>
      </w:r>
      <w:r>
        <w:t>o physical exhibit based on digital changes.</w:t>
      </w:r>
    </w:p>
    <w:p w:rsidR="004E7BBD" w:rsidRDefault="002E4A21">
      <w:pPr>
        <w:pStyle w:val="BodyText"/>
      </w:pPr>
      <w:r>
        <w:t>Uknown: Highest level of quality/fidelity?</w:t>
      </w:r>
      <w:r>
        <w:br/>
        <w:t xml:space="preserve">SI Response: Design and development of the MVP will follow an iterative approach of increasing the quality / fidelity of the final product to be delivered. Expectation </w:t>
      </w:r>
      <w:r>
        <w:t>is the overall quality of the MVP will meet (or exceed) the standards set by NMAAHC’s physical exhibitions and digital products.</w:t>
      </w:r>
    </w:p>
    <w:p w:rsidR="004E7BBD" w:rsidRDefault="002E4A21">
      <w:pPr>
        <w:pStyle w:val="BodyText"/>
      </w:pPr>
      <w:r>
        <w:t>Uknonwn: Sensitivity of data - security and compliance considerations?</w:t>
      </w:r>
      <w:r>
        <w:br/>
        <w:t xml:space="preserve">SI Response: Yes there will be security and commpliance </w:t>
      </w:r>
      <w:r>
        <w:t>considerations. See the TRB question and answer. There will be a security questionnaire. Part of the TRB includes security documents, which the vendor usually assists in completing.</w:t>
      </w:r>
    </w:p>
    <w:p w:rsidR="004E7BBD" w:rsidRDefault="002E4A21">
      <w:pPr>
        <w:pStyle w:val="BodyText"/>
      </w:pPr>
      <w:r>
        <w:t>Uknonwn: Will tech limitations kill anything?</w:t>
      </w:r>
      <w:r>
        <w:br/>
        <w:t xml:space="preserve">SI Response: NMAAHC is very </w:t>
      </w:r>
      <w:r>
        <w:t>open. Scope and budget will help address this question, and NMAAHC is still refining scope and budget. In order to reach and engage the broadest possible audience, it will probably be a product that is accessible on the internet and not a product that is i</w:t>
      </w:r>
      <w:r>
        <w:t>naccessible to large portions of the population.</w:t>
      </w:r>
    </w:p>
    <w:p w:rsidR="004E7BBD" w:rsidRDefault="002E4A21">
      <w:pPr>
        <w:pStyle w:val="BodyText"/>
      </w:pPr>
      <w:r w:rsidRPr="008C73A4">
        <w:rPr>
          <w:i/>
          <w:highlight w:val="yellow"/>
        </w:rPr>
        <w:t>vendors - What other questions would you like for SI to answer?</w:t>
      </w:r>
      <w:bookmarkStart w:id="11" w:name="_GoBack"/>
      <w:bookmarkEnd w:id="11"/>
    </w:p>
    <w:sectPr w:rsidR="004E7B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A21" w:rsidRDefault="002E4A21">
      <w:pPr>
        <w:spacing w:after="0"/>
      </w:pPr>
      <w:r>
        <w:separator/>
      </w:r>
    </w:p>
  </w:endnote>
  <w:endnote w:type="continuationSeparator" w:id="0">
    <w:p w:rsidR="002E4A21" w:rsidRDefault="002E4A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A21" w:rsidRDefault="002E4A21">
      <w:r>
        <w:separator/>
      </w:r>
    </w:p>
  </w:footnote>
  <w:footnote w:type="continuationSeparator" w:id="0">
    <w:p w:rsidR="002E4A21" w:rsidRDefault="002E4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C84E2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15491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E4A21"/>
    <w:rsid w:val="004E29B3"/>
    <w:rsid w:val="004E7BBD"/>
    <w:rsid w:val="00590D07"/>
    <w:rsid w:val="00784D58"/>
    <w:rsid w:val="008C73A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B945584-83A9-9149-8816-21961C29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2536</Words>
  <Characters>14459</Characters>
  <Application>Microsoft Office Word</Application>
  <DocSecurity>0</DocSecurity>
  <Lines>120</Lines>
  <Paragraphs>33</Paragraphs>
  <ScaleCrop>false</ScaleCrop>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Philip Levy</cp:lastModifiedBy>
  <cp:revision>2</cp:revision>
  <dcterms:created xsi:type="dcterms:W3CDTF">2019-08-12T17:14:00Z</dcterms:created>
  <dcterms:modified xsi:type="dcterms:W3CDTF">2019-08-12T17:15:00Z</dcterms:modified>
</cp:coreProperties>
</file>