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B304C" w14:textId="440FEC4F" w:rsidR="00552E36" w:rsidRDefault="00066B0A" w:rsidP="00066B0A">
      <w:pPr>
        <w:jc w:val="center"/>
        <w:rPr>
          <w:b/>
          <w:bCs/>
          <w:sz w:val="32"/>
          <w:szCs w:val="32"/>
          <w:u w:val="single"/>
        </w:rPr>
      </w:pPr>
      <w:r w:rsidRPr="00066B0A">
        <w:rPr>
          <w:b/>
          <w:bCs/>
          <w:sz w:val="32"/>
          <w:szCs w:val="32"/>
          <w:u w:val="single"/>
        </w:rPr>
        <w:t>Matplotlib HW – 3 Observable Trends</w:t>
      </w:r>
    </w:p>
    <w:p w14:paraId="31E9765B" w14:textId="48FC35F1" w:rsidR="00066B0A" w:rsidRDefault="00066B0A" w:rsidP="00066B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Rural areas have the least number of rides per city and driver count per city, yet the highest overall average fares per city. </w:t>
      </w:r>
    </w:p>
    <w:p w14:paraId="0EAE3DF0" w14:textId="6F6F56D7" w:rsidR="00066B0A" w:rsidRDefault="00066B0A" w:rsidP="00066B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Urban areas clearly have the most activity overall, with the highest count of drivers, rides and fares.</w:t>
      </w:r>
    </w:p>
    <w:p w14:paraId="1D63781C" w14:textId="650D55F0" w:rsidR="00253DD6" w:rsidRPr="00066B0A" w:rsidRDefault="00253DD6" w:rsidP="00066B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Urban areas have the highest number of rides per city and driver count per city, yet the lowest overall fares per city.</w:t>
      </w:r>
      <w:bookmarkStart w:id="0" w:name="_GoBack"/>
      <w:bookmarkEnd w:id="0"/>
    </w:p>
    <w:sectPr w:rsidR="00253DD6" w:rsidRPr="000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13A2"/>
    <w:multiLevelType w:val="hybridMultilevel"/>
    <w:tmpl w:val="FC109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0A"/>
    <w:rsid w:val="00066B0A"/>
    <w:rsid w:val="00253DD6"/>
    <w:rsid w:val="0055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7EC4"/>
  <w15:chartTrackingRefBased/>
  <w15:docId w15:val="{FCC2DE49-3C6B-4F5D-BC25-A2BF3638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GLOVER</dc:creator>
  <cp:keywords/>
  <dc:description/>
  <cp:lastModifiedBy>PATRICK GLOVER</cp:lastModifiedBy>
  <cp:revision>1</cp:revision>
  <dcterms:created xsi:type="dcterms:W3CDTF">2019-07-20T16:27:00Z</dcterms:created>
  <dcterms:modified xsi:type="dcterms:W3CDTF">2019-07-20T16:44:00Z</dcterms:modified>
</cp:coreProperties>
</file>