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Pedro González Marcos,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first deliverable for Pedro González Marcos’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5</w:t>
            </w:r>
            <w:r w:rsidDel="00000000" w:rsidR="00000000" w:rsidRPr="00000000">
              <w:rPr>
                <w:color w:val="000000"/>
                <w:sz w:val="20"/>
                <w:szCs w:val="20"/>
                <w:rtl w:val="0"/>
              </w:rPr>
              <w:t xml:space="preserve">/02/2023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didn’t require any extra analysis to be completed by Pedro González Marcos on any of the requirements he completed.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qu1Br/mJMSVgudXwzSAb69YSlQ==">AMUW2mWoLEwM+h/H86+XAB6ArJX1QQnkEZznD2CvrojQ7+6wJy2d4I7xk9DU5B4sb1zGgcpO1l2rFgJ7EP2BIwfzLFvxURc/rvIg5G0aTdaunxUN3x1ndmejnFeiaFloAhBeOzHBOf9R5IBpAjA2AKBdm3g4Jik6OuJ3h3iZzsxCMASnW12jhrnla8bMidLPl+UTKf3OrB/N62JZ2ZdKxynpFbeVPAdDajSZacXoBDzLtPJZHFPqwf+UrRAaJFLrcxtRVlXUlZeN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