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0.png" ContentType="image/png"/>
  <Override PartName="/word/media/rId49.png" ContentType="image/png"/>
  <Override PartName="/word/media/rId36.png" ContentType="image/png"/>
  <Override PartName="/word/media/rId55.png" ContentType="image/png"/>
  <Override PartName="/word/media/rId42.png" ContentType="image/png"/>
  <Override PartName="/word/media/rId61.png" ContentType="image/png"/>
  <Override PartName="/word/media/rId79.png" ContentType="image/png"/>
  <Override PartName="/word/media/rId85.png" ContentType="image/png"/>
  <Override PartName="/word/media/rId126.png" ContentType="image/png"/>
  <Override PartName="/word/media/rId101.png" ContentType="image/png"/>
  <Override PartName="/word/media/rId113.png" ContentType="image/png"/>
  <Override PartName="/word/media/rId25.png" ContentType="image/png"/>
  <Override PartName="/word/media/rId71.png" ContentType="image/png"/>
  <Override PartName="/word/media/rId139.png" ContentType="image/png"/>
  <Override PartName="/word/media/rId91.png" ContentType="image/png"/>
  <Override PartName="/word/media/rId132.png" ContentType="image/png"/>
  <Override PartName="/word/media/rId1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1. Introduction</w:t>
      </w:r>
    </w:p>
    <w:p>
      <w:pPr>
        <w:pStyle w:val="FirstParagraph"/>
      </w:pPr>
      <w:r>
        <w:t xml:space="preserve">This paper presents a series of simulations conducted to evaluate methods to detect of item misfit in Rasch models. First, conditional item infit and outfit will be under scrutiny. Second, item infit will be compared to item-restscore</w:t>
      </w:r>
      <w:r>
        <w:t xml:space="preserve"> </w:t>
      </w:r>
      <w:r>
        <w:t xml:space="preserve">(Kreiner, 2011; Mueller &amp; Santiago, 2022)</w:t>
      </w:r>
      <w:r>
        <w:t xml:space="preserve">. Third, a bootstrap method for item-restscore will be presented and tested.</w:t>
      </w:r>
    </w:p>
    <w:p>
      <w:pPr>
        <w:pStyle w:val="BodyText"/>
      </w:pPr>
      <w:r>
        <w:t xml:space="preserve">The assessment of item fit under the Rasch model has for decades been conducted using various rule-of-thumb critical values. Müller</w:t>
      </w:r>
      <w:r>
        <w:t xml:space="preserve"> </w:t>
      </w:r>
      <w:r>
        <w:t xml:space="preserve">(2020)</w:t>
      </w:r>
      <w:r>
        <w:t xml:space="preserve"> </w:t>
      </w:r>
      <w:r>
        <w:t xml:space="preserve">showed how the range of critical values for conditional item infit varies with sample size. The expected average item conditional infit range was described by Müller as fairly well captured by Smith’s rule-of-thumb formula 1±2/√n</w:t>
      </w:r>
      <w:r>
        <w:t xml:space="preserve"> </w:t>
      </w:r>
      <w:r>
        <w:t xml:space="preserve">(Smith et al., 1998)</w:t>
      </w:r>
      <w:r>
        <w:t xml:space="preserve">. However, the average range does not apply for all items, since item location relative to sample location also affects model expected item fit. This means that some items within a set of items varying in location are likely to have item fit values outside Smith’s average value range while still fitting the Rasch model.</w:t>
      </w:r>
    </w:p>
    <w:p>
      <w:pPr>
        <w:pStyle w:val="BodyText"/>
      </w:pPr>
      <w:r>
        <w:t xml:space="preserve">It is here proposed that by using parametric bootstrapping one can establish item fit critical cutoff values that are sample and item specific. This procedure uses the estimated item and person locations based on the available data and simulates new response data that fit the Rasch model, to determine the range of plausible item fit values for each item. The R package</w:t>
      </w:r>
      <w:r>
        <w:t xml:space="preserve"> </w:t>
      </w:r>
      <w:r>
        <w:rPr>
          <w:rStyle w:val="VerbatimChar"/>
        </w:rPr>
        <w:t xml:space="preserve">easyRasch</w:t>
      </w:r>
      <w:r>
        <w:t xml:space="preserve"> </w:t>
      </w:r>
      <w:r>
        <w:t xml:space="preserve">(Johansson, 2024)</w:t>
      </w:r>
      <w:r>
        <w:t xml:space="preserve"> </w:t>
      </w:r>
      <w:r>
        <w:t xml:space="preserve">includes a function to determine item infit and outfit cutoff values using this method and will be tested in the simulations in this paper.</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250 with increasing likelihood of problems as sample size increases. Readers are strongly recommended to read Müller’s paper to fully understand the issues with unconditional item fit.</w:t>
      </w:r>
    </w:p>
    <w:bookmarkEnd w:id="20"/>
    <w:bookmarkStart w:id="23" w:name="methods"/>
    <w:p>
      <w:pPr>
        <w:pStyle w:val="Heading1"/>
      </w:pPr>
      <w:r>
        <w:t xml:space="preserve">2. Methods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2">
        <w:r>
          <w:rPr>
            <w:rStyle w:val="Hyperlink"/>
          </w:rPr>
          <w:t xml:space="preserve">https://github.com/pgmj/rasch_itemfit</w:t>
        </w:r>
      </w:hyperlink>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1"/>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1"/>
        </w:numPr>
      </w:pPr>
      <w:r>
        <w:t xml:space="preserve">Estimation of sample theta values using weighted maximum likelihood</w:t>
      </w:r>
      <w:r>
        <w:t xml:space="preserve"> </w:t>
      </w:r>
      <w:r>
        <w:t xml:space="preserve">(Warm, 1989)</w:t>
      </w:r>
      <w:r>
        <w:t xml:space="preserve">.</w:t>
      </w:r>
    </w:p>
    <w:p>
      <w:pPr>
        <w:pStyle w:val="Compact"/>
        <w:numPr>
          <w:ilvl w:val="0"/>
          <w:numId w:val="1001"/>
        </w:numPr>
      </w:pPr>
      <w:r>
        <w:t xml:space="preserve">Simulation of new response data which fit the Rasch model, using the estimated item locations and theta values.</w:t>
      </w:r>
    </w:p>
    <w:p>
      <w:pPr>
        <w:pStyle w:val="Compact"/>
        <w:numPr>
          <w:ilvl w:val="0"/>
          <w:numId w:val="1001"/>
        </w:numPr>
      </w:pPr>
      <w:r>
        <w:t xml:space="preserve">Estimation of the dichotomous Rasch model for the new response data using CML.</w:t>
      </w:r>
    </w:p>
    <w:p>
      <w:pPr>
        <w:pStyle w:val="Compact"/>
        <w:numPr>
          <w:ilvl w:val="0"/>
          <w:numId w:val="1001"/>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3"/>
    <w:bookmarkStart w:id="70"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(1±2/√n)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29"/>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69"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8"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w:t>
            </w:r>
          </w:p>
          <w:p>
            <w:pPr>
              <w:pStyle w:val="Compact"/>
              <w:jc w:val="center"/>
            </w:pPr>
            <w:bookmarkStart w:id="33" w:name="fig-ifb0"/>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bookmarkEnd w:id="33"/>
          </w:p>
          <w:bookmarkEnd w:id="34"/>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100 and 250, but it also shows higher levels of false positives when sample size increases to 500 or more.</w:t>
      </w:r>
    </w:p>
    <w:bookmarkStart w:id="41" w:name="cell-fig-ifb1"/>
    <w:tbl>
      <w:tblPr>
        <w:tblStyle w:val="Table"/>
        <w:tblW w:type="pct" w:w="5000"/>
        <w:tblLayout w:type="fixed"/>
        <w:tblLook w:firstRow="0" w:lastRow="0" w:firstColumn="0" w:lastColumn="0" w:noHBand="0" w:noVBand="0" w:val="0000"/>
      </w:tblPr>
      <w:tblGrid>
        <w:gridCol w:w="7920"/>
      </w:tblGrid>
      <w:tr>
        <w:tc>
          <w:tcPr/>
          <w:bookmarkStart w:id="40" w:name="fig-ifb1"/>
          <w:p>
            <w:pPr>
              <w:jc w:val="center"/>
            </w:pPr>
            <w:pPr>
              <w:jc w:val="start"/>
              <w:spacing w:before="200"/>
              <w:pStyle w:val="ImageCaption"/>
            </w:pPr>
            <w:r>
              <w:t xml:space="preserve">Figure 3</w:t>
            </w:r>
          </w:p>
          <w:p>
            <w:pPr>
              <w:pStyle w:val="Compact"/>
              <w:jc w:val="center"/>
            </w:pPr>
            <w:bookmarkStart w:id="39" w:name="fig-ifb1"/>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bookmarkEnd w:id="39"/>
          </w:p>
          <w:bookmarkEnd w:id="4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1"/>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7" w:name="cell-fig-ifb2"/>
    <w:tbl>
      <w:tblPr>
        <w:tblStyle w:val="Table"/>
        <w:tblW w:type="pct" w:w="5000"/>
        <w:tblLayout w:type="fixed"/>
        <w:tblLook w:firstRow="0" w:lastRow="0" w:firstColumn="0" w:lastColumn="0" w:noHBand="0" w:noVBand="0" w:val="0000"/>
      </w:tblPr>
      <w:tblGrid>
        <w:gridCol w:w="7920"/>
      </w:tblGrid>
      <w:tr>
        <w:tc>
          <w:tcPr/>
          <w:bookmarkStart w:id="46" w:name="fig-ifb2"/>
          <w:p>
            <w:pPr>
              <w:jc w:val="center"/>
            </w:pPr>
            <w:pPr>
              <w:jc w:val="start"/>
              <w:spacing w:before="200"/>
              <w:pStyle w:val="ImageCaption"/>
            </w:pPr>
            <w:r>
              <w:t xml:space="preserve">Figure 4</w:t>
            </w:r>
          </w:p>
          <w:p>
            <w:pPr>
              <w:pStyle w:val="Compact"/>
              <w:jc w:val="center"/>
            </w:pPr>
            <w:bookmarkStart w:id="45" w:name="fig-ifb2"/>
            <w:r>
              <w:drawing>
                <wp:inline>
                  <wp:extent cx="5943600" cy="4574010"/>
                  <wp:effectExtent b="0" l="0" r="0" t="0"/>
                  <wp:docPr descr="" title="" id="43" name="Picture"/>
                  <a:graphic>
                    <a:graphicData uri="http://schemas.openxmlformats.org/drawingml/2006/picture">
                      <pic:pic>
                        <pic:nvPicPr>
                          <pic:cNvPr descr="index_files/figure-docx/fig-ifb2-1.png" id="44" name="Picture"/>
                          <pic:cNvPicPr>
                            <a:picLocks noChangeArrowheads="1" noChangeAspect="1"/>
                          </pic:cNvPicPr>
                        </pic:nvPicPr>
                        <pic:blipFill>
                          <a:blip r:embed="rId42"/>
                          <a:stretch>
                            <a:fillRect/>
                          </a:stretch>
                        </pic:blipFill>
                        <pic:spPr bwMode="auto">
                          <a:xfrm>
                            <a:off x="0" y="0"/>
                            <a:ext cx="5943600" cy="4574010"/>
                          </a:xfrm>
                          <a:prstGeom prst="rect">
                            <a:avLst/>
                          </a:prstGeom>
                          <a:noFill/>
                          <a:ln w="9525">
                            <a:noFill/>
                            <a:headEnd/>
                            <a:tailEnd/>
                          </a:ln>
                        </pic:spPr>
                      </pic:pic>
                    </a:graphicData>
                  </a:graphic>
                </wp:inline>
              </w:drawing>
            </w:r>
            <w:bookmarkEnd w:id="45"/>
          </w:p>
          <w:bookmarkEnd w:id="4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47"/>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8"/>
    <w:bookmarkStart w:id="67" w:name="outfit"/>
    <w:p>
      <w:pPr>
        <w:pStyle w:val="Heading3"/>
      </w:pPr>
      <w:r>
        <w:t xml:space="preserve">3.1.2 Outfit</w:t>
      </w:r>
    </w:p>
    <w:bookmarkStart w:id="54" w:name="cell-fig-ifb0out"/>
    <w:tbl>
      <w:tblPr>
        <w:tblStyle w:val="Table"/>
        <w:tblW w:type="pct" w:w="5000"/>
        <w:tblLayout w:type="fixed"/>
        <w:tblLook w:firstRow="0" w:lastRow="0" w:firstColumn="0" w:lastColumn="0" w:noHBand="0" w:noVBand="0" w:val="0000"/>
      </w:tblPr>
      <w:tblGrid>
        <w:gridCol w:w="7920"/>
      </w:tblGrid>
      <w:tr>
        <w:tc>
          <w:tcPr/>
          <w:bookmarkStart w:id="53" w:name="fig-ifb0out"/>
          <w:p>
            <w:pPr>
              <w:jc w:val="center"/>
            </w:pPr>
            <w:pPr>
              <w:jc w:val="start"/>
              <w:spacing w:before="200"/>
              <w:pStyle w:val="ImageCaption"/>
            </w:pPr>
            <w:r>
              <w:t xml:space="preserve">Figure 5</w:t>
            </w:r>
          </w:p>
          <w:p>
            <w:pPr>
              <w:pStyle w:val="Compact"/>
              <w:jc w:val="center"/>
            </w:pPr>
            <w:bookmarkStart w:id="52" w:name="fig-ifb0out"/>
            <w:r>
              <w:drawing>
                <wp:inline>
                  <wp:extent cx="5943600" cy="4574010"/>
                  <wp:effectExtent b="0" l="0" r="0" t="0"/>
                  <wp:docPr descr="" title="" id="50" name="Picture"/>
                  <a:graphic>
                    <a:graphicData uri="http://schemas.openxmlformats.org/drawingml/2006/picture">
                      <pic:pic>
                        <pic:nvPicPr>
                          <pic:cNvPr descr="index_files/figure-docx/fig-ifb0out-1.png" id="51" name="Picture"/>
                          <pic:cNvPicPr>
                            <a:picLocks noChangeArrowheads="1" noChangeAspect="1"/>
                          </pic:cNvPicPr>
                        </pic:nvPicPr>
                        <pic:blipFill>
                          <a:blip r:embed="rId49"/>
                          <a:stretch>
                            <a:fillRect/>
                          </a:stretch>
                        </pic:blipFill>
                        <pic:spPr bwMode="auto">
                          <a:xfrm>
                            <a:off x="0" y="0"/>
                            <a:ext cx="5943600" cy="4574010"/>
                          </a:xfrm>
                          <a:prstGeom prst="rect">
                            <a:avLst/>
                          </a:prstGeom>
                          <a:noFill/>
                          <a:ln w="9525">
                            <a:noFill/>
                            <a:headEnd/>
                            <a:tailEnd/>
                          </a:ln>
                        </pic:spPr>
                      </pic:pic>
                    </a:graphicData>
                  </a:graphic>
                </wp:inline>
              </w:drawing>
            </w:r>
            <w:bookmarkEnd w:id="52"/>
          </w:p>
          <w:bookmarkEnd w:id="5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54"/>
    <w:bookmarkStart w:id="60" w:name="cell-fig-ifb1out"/>
    <w:tbl>
      <w:tblPr>
        <w:tblStyle w:val="Table"/>
        <w:tblW w:type="pct" w:w="5000"/>
        <w:tblLayout w:type="fixed"/>
        <w:tblLook w:firstRow="0" w:lastRow="0" w:firstColumn="0" w:lastColumn="0" w:noHBand="0" w:noVBand="0" w:val="0000"/>
      </w:tblPr>
      <w:tblGrid>
        <w:gridCol w:w="7920"/>
      </w:tblGrid>
      <w:tr>
        <w:tc>
          <w:tcPr/>
          <w:bookmarkStart w:id="59" w:name="fig-ifb1out"/>
          <w:p>
            <w:pPr>
              <w:jc w:val="center"/>
            </w:pPr>
            <w:pPr>
              <w:jc w:val="start"/>
              <w:spacing w:before="200"/>
              <w:pStyle w:val="ImageCaption"/>
            </w:pPr>
            <w:r>
              <w:t xml:space="preserve">Figure 6</w:t>
            </w:r>
          </w:p>
          <w:p>
            <w:pPr>
              <w:pStyle w:val="Compact"/>
              <w:jc w:val="center"/>
            </w:pPr>
            <w:bookmarkStart w:id="58" w:name="fig-ifb1out"/>
            <w:r>
              <w:drawing>
                <wp:inline>
                  <wp:extent cx="5943600" cy="4574010"/>
                  <wp:effectExtent b="0" l="0" r="0" t="0"/>
                  <wp:docPr descr="" title="" id="56" name="Picture"/>
                  <a:graphic>
                    <a:graphicData uri="http://schemas.openxmlformats.org/drawingml/2006/picture">
                      <pic:pic>
                        <pic:nvPicPr>
                          <pic:cNvPr descr="index_files/figure-docx/fig-ifb1out-1.png" id="57" name="Picture"/>
                          <pic:cNvPicPr>
                            <a:picLocks noChangeArrowheads="1" noChangeAspect="1"/>
                          </pic:cNvPicPr>
                        </pic:nvPicPr>
                        <pic:blipFill>
                          <a:blip r:embed="rId55"/>
                          <a:stretch>
                            <a:fillRect/>
                          </a:stretch>
                        </pic:blipFill>
                        <pic:spPr bwMode="auto">
                          <a:xfrm>
                            <a:off x="0" y="0"/>
                            <a:ext cx="5943600" cy="4574010"/>
                          </a:xfrm>
                          <a:prstGeom prst="rect">
                            <a:avLst/>
                          </a:prstGeom>
                          <a:noFill/>
                          <a:ln w="9525">
                            <a:noFill/>
                            <a:headEnd/>
                            <a:tailEnd/>
                          </a:ln>
                        </pic:spPr>
                      </pic:pic>
                    </a:graphicData>
                  </a:graphic>
                </wp:inline>
              </w:drawing>
            </w:r>
            <w:bookmarkEnd w:id="58"/>
          </w:p>
          <w:bookmarkEnd w:id="5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0"/>
    <w:bookmarkStart w:id="66" w:name="cell-fig-ifb2out"/>
    <w:tbl>
      <w:tblPr>
        <w:tblStyle w:val="Table"/>
        <w:tblW w:type="pct" w:w="5000"/>
        <w:tblLayout w:type="fixed"/>
        <w:tblLook w:firstRow="0" w:lastRow="0" w:firstColumn="0" w:lastColumn="0" w:noHBand="0" w:noVBand="0" w:val="0000"/>
      </w:tblPr>
      <w:tblGrid>
        <w:gridCol w:w="7920"/>
      </w:tblGrid>
      <w:tr>
        <w:tc>
          <w:tcPr/>
          <w:bookmarkStart w:id="65" w:name="fig-ifb2out"/>
          <w:p>
            <w:pPr>
              <w:jc w:val="center"/>
            </w:pPr>
            <w:pPr>
              <w:jc w:val="start"/>
              <w:spacing w:before="200"/>
              <w:pStyle w:val="ImageCaption"/>
            </w:pPr>
            <w:r>
              <w:t xml:space="preserve">Figure 7</w:t>
            </w:r>
          </w:p>
          <w:p>
            <w:pPr>
              <w:pStyle w:val="Compact"/>
              <w:jc w:val="center"/>
            </w:pPr>
            <w:bookmarkStart w:id="64" w:name="fig-ifb2out"/>
            <w:r>
              <w:drawing>
                <wp:inline>
                  <wp:extent cx="5943600" cy="4574010"/>
                  <wp:effectExtent b="0" l="0" r="0" t="0"/>
                  <wp:docPr descr="" title="" id="62" name="Picture"/>
                  <a:graphic>
                    <a:graphicData uri="http://schemas.openxmlformats.org/drawingml/2006/picture">
                      <pic:pic>
                        <pic:nvPicPr>
                          <pic:cNvPr descr="index_files/figure-docx/fig-ifb2out-1.png" id="63" name="Picture"/>
                          <pic:cNvPicPr>
                            <a:picLocks noChangeArrowheads="1" noChangeAspect="1"/>
                          </pic:cNvPicPr>
                        </pic:nvPicPr>
                        <pic:blipFill>
                          <a:blip r:embed="rId61"/>
                          <a:stretch>
                            <a:fillRect/>
                          </a:stretch>
                        </pic:blipFill>
                        <pic:spPr bwMode="auto">
                          <a:xfrm>
                            <a:off x="0" y="0"/>
                            <a:ext cx="5943600" cy="4574010"/>
                          </a:xfrm>
                          <a:prstGeom prst="rect">
                            <a:avLst/>
                          </a:prstGeom>
                          <a:noFill/>
                          <a:ln w="9525">
                            <a:noFill/>
                            <a:headEnd/>
                            <a:tailEnd/>
                          </a:ln>
                        </pic:spPr>
                      </pic:pic>
                    </a:graphicData>
                  </a:graphic>
                </wp:inline>
              </w:drawing>
            </w:r>
            <w:bookmarkEnd w:id="64"/>
          </w:p>
          <w:bookmarkEnd w:id="6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66"/>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much worse than infit across the board.</w:t>
      </w:r>
    </w:p>
    <w:bookmarkEnd w:id="67"/>
    <w:bookmarkStart w:id="68" w:name="comments"/>
    <w:p>
      <w:pPr>
        <w:pStyle w:val="Heading3"/>
      </w:pPr>
      <w:r>
        <w:t xml:space="preserve">3.1.3 Comments</w:t>
      </w:r>
    </w:p>
    <w:p>
      <w:pPr>
        <w:pStyle w:val="FirstParagraph"/>
      </w:pPr>
      <w:r>
        <w:t xml:space="preserve">Based on these simulation, it seems reasonable to recommend the use of infit in determining item fit over outfit. The performance of outfit calls to question whether it is useful at all.</w:t>
      </w:r>
    </w:p>
    <w:p>
      <w:pPr>
        <w:pStyle w:val="BodyText"/>
      </w:pPr>
      <w:r>
        <w:t xml:space="preserve">Regarding infit and the use of parametric bootstrapping with</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8"/>
    <w:bookmarkEnd w:id="69"/>
    <w:bookmarkEnd w:id="70"/>
    <w:bookmarkStart w:id="78"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77" w:name="results-1"/>
    <w:p>
      <w:pPr>
        <w:pStyle w:val="Heading2"/>
      </w:pPr>
      <w:r>
        <w:t xml:space="preserve">4.1 Results</w:t>
      </w:r>
    </w:p>
    <w:bookmarkStart w:id="76" w:name="cell-fig-itemrestscore1"/>
    <w:tbl>
      <w:tblPr>
        <w:tblStyle w:val="Table"/>
        <w:tblW w:type="pct" w:w="5000"/>
        <w:tblLayout w:type="fixed"/>
        <w:tblLook w:firstRow="0" w:lastRow="0" w:firstColumn="0" w:lastColumn="0" w:noHBand="0" w:noVBand="0" w:val="0000"/>
      </w:tblPr>
      <w:tblGrid>
        <w:gridCol w:w="7920"/>
      </w:tblGrid>
      <w:tr>
        <w:tc>
          <w:tcPr/>
          <w:bookmarkStart w:id="75" w:name="fig-itemrestscore1"/>
          <w:p>
            <w:pPr>
              <w:jc w:val="center"/>
            </w:pPr>
            <w:pPr>
              <w:jc w:val="start"/>
              <w:spacing w:before="200"/>
              <w:pStyle w:val="ImageCaption"/>
            </w:pPr>
            <w:r>
              <w:t xml:space="preserve">Figure 8</w:t>
            </w:r>
          </w:p>
          <w:p>
            <w:pPr>
              <w:pStyle w:val="Compact"/>
              <w:jc w:val="center"/>
            </w:pPr>
            <w:bookmarkStart w:id="74" w:name="fig-itemrestscore1"/>
            <w:r>
              <w:drawing>
                <wp:inline>
                  <wp:extent cx="5943600" cy="5488812"/>
                  <wp:effectExtent b="0" l="0" r="0" t="0"/>
                  <wp:docPr descr="" title="" id="72" name="Picture"/>
                  <a:graphic>
                    <a:graphicData uri="http://schemas.openxmlformats.org/drawingml/2006/picture">
                      <pic:pic>
                        <pic:nvPicPr>
                          <pic:cNvPr descr="index_files/figure-docx/fig-itemrestscore1-1.png" id="73" name="Picture"/>
                          <pic:cNvPicPr>
                            <a:picLocks noChangeArrowheads="1" noChangeAspect="1"/>
                          </pic:cNvPicPr>
                        </pic:nvPicPr>
                        <pic:blipFill>
                          <a:blip r:embed="rId71"/>
                          <a:stretch>
                            <a:fillRect/>
                          </a:stretch>
                        </pic:blipFill>
                        <pic:spPr bwMode="auto">
                          <a:xfrm>
                            <a:off x="0" y="0"/>
                            <a:ext cx="5943600" cy="5488812"/>
                          </a:xfrm>
                          <a:prstGeom prst="rect">
                            <a:avLst/>
                          </a:prstGeom>
                          <a:noFill/>
                          <a:ln w="9525">
                            <a:noFill/>
                            <a:headEnd/>
                            <a:tailEnd/>
                          </a:ln>
                        </pic:spPr>
                      </pic:pic>
                    </a:graphicData>
                  </a:graphic>
                </wp:inline>
              </w:drawing>
            </w:r>
            <w:bookmarkEnd w:id="74"/>
          </w:p>
          <w:bookmarkEnd w:id="7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76"/>
    <w:p>
      <w:pPr>
        <w:pStyle w:val="BodyText"/>
      </w:pPr>
      <w:r>
        <w:t xml:space="preserve">This simulation includes an additional condition with 100 respondents, which results in significantly lower detection rates than with 150 respondents. Compared to infit at 250 respondents, item-restscore has detection rates of 95.2%, 90.9%, and 62.4% for targeting 0, -1, and -2, while infit has 96.5%, 96.5%, and 71%. For sample size 500 and 1000, performance is similar, including the increased tendency for false positives at n = 1000.</w:t>
      </w:r>
    </w:p>
    <w:p>
      <w:pPr>
        <w:pStyle w:val="BodyText"/>
      </w:pPr>
      <w:r>
        <w:t xml:space="preserve">Similarly to infit, item-restscore has decreased detection rate for off-target misfitting items. The false positive rate is lower for item-restscore than infit for sample sizes below 1000.</w:t>
      </w:r>
    </w:p>
    <w:bookmarkEnd w:id="77"/>
    <w:bookmarkEnd w:id="78"/>
    <w:bookmarkStart w:id="99"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only use 200 iterations with</w:t>
      </w:r>
      <w:r>
        <w:t xml:space="preserve"> </w:t>
      </w:r>
      <w:r>
        <w:rPr>
          <w:rStyle w:val="VerbatimChar"/>
        </w:rPr>
        <w:t xml:space="preserve">RIgetfit()</w:t>
      </w:r>
      <w:r>
        <w:t xml:space="preserve"> </w:t>
      </w:r>
      <w:r>
        <w:t xml:space="preserve">since that condition seemed to strike a balance between detection rate and false positives.</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98" w:name="results-2"/>
    <w:p>
      <w:pPr>
        <w:pStyle w:val="Heading3"/>
      </w:pPr>
      <w:r>
        <w:t xml:space="preserve">5.0.1 Results</w:t>
      </w:r>
    </w:p>
    <w:bookmarkStart w:id="84" w:name="cell-fig-ifb3"/>
    <w:tbl>
      <w:tblPr>
        <w:tblStyle w:val="Table"/>
        <w:tblW w:type="pct" w:w="5000"/>
        <w:tblLayout w:type="fixed"/>
        <w:tblLook w:firstRow="0" w:lastRow="0" w:firstColumn="0" w:lastColumn="0" w:noHBand="0" w:noVBand="0" w:val="0000"/>
      </w:tblPr>
      <w:tblGrid>
        <w:gridCol w:w="7920"/>
      </w:tblGrid>
      <w:tr>
        <w:tc>
          <w:tcPr/>
          <w:bookmarkStart w:id="83" w:name="fig-ifb3"/>
          <w:p>
            <w:pPr>
              <w:jc w:val="center"/>
            </w:pPr>
            <w:pPr>
              <w:jc w:val="start"/>
              <w:spacing w:before="200"/>
              <w:pStyle w:val="ImageCaption"/>
            </w:pPr>
            <w:r>
              <w:t xml:space="preserve">Figure 9</w:t>
            </w:r>
          </w:p>
          <w:p>
            <w:pPr>
              <w:pStyle w:val="Compact"/>
              <w:jc w:val="center"/>
            </w:pPr>
            <w:bookmarkStart w:id="82" w:name="fig-ifb3"/>
            <w:r>
              <w:drawing>
                <wp:inline>
                  <wp:extent cx="5943600" cy="6403614"/>
                  <wp:effectExtent b="0" l="0" r="0" t="0"/>
                  <wp:docPr descr="" title="" id="80" name="Picture"/>
                  <a:graphic>
                    <a:graphicData uri="http://schemas.openxmlformats.org/drawingml/2006/picture">
                      <pic:pic>
                        <pic:nvPicPr>
                          <pic:cNvPr descr="index_files/figure-docx/fig-ifb3-1.png" id="81" name="Picture"/>
                          <pic:cNvPicPr>
                            <a:picLocks noChangeArrowheads="1" noChangeAspect="1"/>
                          </pic:cNvPicPr>
                        </pic:nvPicPr>
                        <pic:blipFill>
                          <a:blip r:embed="rId79"/>
                          <a:stretch>
                            <a:fillRect/>
                          </a:stretch>
                        </pic:blipFill>
                        <pic:spPr bwMode="auto">
                          <a:xfrm>
                            <a:off x="0" y="0"/>
                            <a:ext cx="5943600" cy="6403614"/>
                          </a:xfrm>
                          <a:prstGeom prst="rect">
                            <a:avLst/>
                          </a:prstGeom>
                          <a:noFill/>
                          <a:ln w="9525">
                            <a:noFill/>
                            <a:headEnd/>
                            <a:tailEnd/>
                          </a:ln>
                        </pic:spPr>
                      </pic:pic>
                    </a:graphicData>
                  </a:graphic>
                </wp:inline>
              </w:drawing>
            </w:r>
            <w:bookmarkEnd w:id="82"/>
          </w:p>
          <w:bookmarkEnd w:id="8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84"/>
    <w:bookmarkStart w:id="90" w:name="cell-fig-ifb3out"/>
    <w:tbl>
      <w:tblPr>
        <w:tblStyle w:val="Table"/>
        <w:tblW w:type="pct" w:w="5000"/>
        <w:tblLayout w:type="fixed"/>
        <w:tblLook w:firstRow="0" w:lastRow="0" w:firstColumn="0" w:lastColumn="0" w:noHBand="0" w:noVBand="0" w:val="0000"/>
      </w:tblPr>
      <w:tblGrid>
        <w:gridCol w:w="7920"/>
      </w:tblGrid>
      <w:tr>
        <w:tc>
          <w:tcPr/>
          <w:bookmarkStart w:id="89" w:name="fig-ifb3out"/>
          <w:p>
            <w:pPr>
              <w:jc w:val="center"/>
            </w:pPr>
            <w:pPr>
              <w:jc w:val="start"/>
              <w:spacing w:before="200"/>
              <w:pStyle w:val="ImageCaption"/>
            </w:pPr>
            <w:r>
              <w:t xml:space="preserve">Figure 10</w:t>
            </w:r>
          </w:p>
          <w:p>
            <w:pPr>
              <w:pStyle w:val="Compact"/>
              <w:jc w:val="center"/>
            </w:pPr>
            <w:bookmarkStart w:id="88" w:name="fig-ifb3out"/>
            <w:r>
              <w:drawing>
                <wp:inline>
                  <wp:extent cx="5943600" cy="6403614"/>
                  <wp:effectExtent b="0" l="0" r="0" t="0"/>
                  <wp:docPr descr="" title="" id="86" name="Picture"/>
                  <a:graphic>
                    <a:graphicData uri="http://schemas.openxmlformats.org/drawingml/2006/picture">
                      <pic:pic>
                        <pic:nvPicPr>
                          <pic:cNvPr descr="index_files/figure-docx/fig-ifb3out-1.png" id="87" name="Picture"/>
                          <pic:cNvPicPr>
                            <a:picLocks noChangeArrowheads="1" noChangeAspect="1"/>
                          </pic:cNvPicPr>
                        </pic:nvPicPr>
                        <pic:blipFill>
                          <a:blip r:embed="rId85"/>
                          <a:stretch>
                            <a:fillRect/>
                          </a:stretch>
                        </pic:blipFill>
                        <pic:spPr bwMode="auto">
                          <a:xfrm>
                            <a:off x="0" y="0"/>
                            <a:ext cx="5943600" cy="6403614"/>
                          </a:xfrm>
                          <a:prstGeom prst="rect">
                            <a:avLst/>
                          </a:prstGeom>
                          <a:noFill/>
                          <a:ln w="9525">
                            <a:noFill/>
                            <a:headEnd/>
                            <a:tailEnd/>
                          </a:ln>
                        </pic:spPr>
                      </pic:pic>
                    </a:graphicData>
                  </a:graphic>
                </wp:inline>
              </w:drawing>
            </w:r>
            <w:bookmarkEnd w:id="88"/>
          </w:p>
          <w:bookmarkEnd w:id="89"/>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0"/>
    <w:p>
      <w:pPr>
        <w:pStyle w:val="BodyText"/>
      </w:pPr>
      <w:r>
        <w:t xml:space="preserve">Looking at the performance of infit with three misfitting items (</w:t>
      </w:r>
      <w:hyperlink w:anchor="fig-ifb3">
        <w:r>
          <w:rPr>
            <w:rStyle w:val="Hyperlink"/>
          </w:rPr>
          <w:t xml:space="preserve">Figure 9</w:t>
        </w:r>
      </w:hyperlink>
      <w:r>
        <w:t xml:space="preserve">), we can see that the detection rate is markedly worse for item 13 (targeting -1 logits) in sample sizes 500 and below, compared to when single items were misfitting. The false positive rate has increased for sample size of 1000 and we can see it escalate when n = 2000. Outfit (</w:t>
      </w:r>
      <w:hyperlink w:anchor="fig-ifb3out">
        <w:r>
          <w:rPr>
            <w:rStyle w:val="Hyperlink"/>
          </w:rPr>
          <w:t xml:space="preserve">Figure 10</w:t>
        </w:r>
      </w:hyperlink>
      <w:r>
        <w:t xml:space="preserve">) again performs worse than infit.</w:t>
      </w:r>
    </w:p>
    <w:bookmarkStart w:id="96" w:name="cell-fig-itemrestscore2"/>
    <w:tbl>
      <w:tblPr>
        <w:tblStyle w:val="Table"/>
        <w:tblW w:type="pct" w:w="5000"/>
        <w:tblLayout w:type="fixed"/>
        <w:tblLook w:firstRow="0" w:lastRow="0" w:firstColumn="0" w:lastColumn="0" w:noHBand="0" w:noVBand="0" w:val="0000"/>
      </w:tblPr>
      <w:tblGrid>
        <w:gridCol w:w="7920"/>
      </w:tblGrid>
      <w:tr>
        <w:tc>
          <w:tcPr/>
          <w:bookmarkStart w:id="95" w:name="fig-itemrestscore2"/>
          <w:p>
            <w:pPr>
              <w:jc w:val="center"/>
            </w:pPr>
            <w:pPr>
              <w:jc w:val="start"/>
              <w:spacing w:before="200"/>
              <w:pStyle w:val="ImageCaption"/>
            </w:pPr>
            <w:r>
              <w:t xml:space="preserve">Figure 11</w:t>
            </w:r>
          </w:p>
          <w:p>
            <w:pPr>
              <w:pStyle w:val="Compact"/>
              <w:jc w:val="center"/>
            </w:pPr>
            <w:bookmarkStart w:id="94" w:name="fig-itemrestscore2"/>
            <w:r>
              <w:drawing>
                <wp:inline>
                  <wp:extent cx="5943600" cy="6403614"/>
                  <wp:effectExtent b="0" l="0" r="0" t="0"/>
                  <wp:docPr descr="" title="" id="92" name="Picture"/>
                  <a:graphic>
                    <a:graphicData uri="http://schemas.openxmlformats.org/drawingml/2006/picture">
                      <pic:pic>
                        <pic:nvPicPr>
                          <pic:cNvPr descr="index_files/figure-docx/fig-itemrestscore2-1.png" id="93" name="Picture"/>
                          <pic:cNvPicPr>
                            <a:picLocks noChangeArrowheads="1" noChangeAspect="1"/>
                          </pic:cNvPicPr>
                        </pic:nvPicPr>
                        <pic:blipFill>
                          <a:blip r:embed="rId91"/>
                          <a:stretch>
                            <a:fillRect/>
                          </a:stretch>
                        </pic:blipFill>
                        <pic:spPr bwMode="auto">
                          <a:xfrm>
                            <a:off x="0" y="0"/>
                            <a:ext cx="5943600" cy="6403614"/>
                          </a:xfrm>
                          <a:prstGeom prst="rect">
                            <a:avLst/>
                          </a:prstGeom>
                          <a:noFill/>
                          <a:ln w="9525">
                            <a:noFill/>
                            <a:headEnd/>
                            <a:tailEnd/>
                          </a:ln>
                        </pic:spPr>
                      </pic:pic>
                    </a:graphicData>
                  </a:graphic>
                </wp:inline>
              </w:drawing>
            </w:r>
            <w:bookmarkEnd w:id="94"/>
          </w:p>
          <w:bookmarkEnd w:id="9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96"/>
    <w:tbl>
      <w:tblPr>
        <w:tblStyle w:val="Table"/>
        <w:tblW w:type="pct" w:w="5000"/>
        <w:tblLayout w:type="fixed"/>
        <w:tblLook w:firstRow="0" w:lastRow="0" w:firstColumn="0" w:lastColumn="0" w:noHBand="0" w:noVBand="0" w:val="0000"/>
      </w:tblPr>
      <w:tblGrid>
        <w:gridCol w:w="7920"/>
      </w:tblGrid>
      <w:tr>
        <w:tc>
          <w:tcPr/>
          <w:bookmarkStart w:id="97" w:name="tbl-overunder"/>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n</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299</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520</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224</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181</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298</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475</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313</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382</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2132</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365</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326</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149</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2</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1595</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182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313</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278</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129</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1974</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31</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387</w:t>
                  </w:r>
                </w:p>
              </w:tc>
            </w:tr>
          </w:tbl>
          <w:bookmarkEnd w:id="97"/>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t xml:space="preserve">Item-restscore has higher detection rate than infit (see</w:t>
      </w:r>
      <w:r>
        <w:t xml:space="preserve"> </w:t>
      </w:r>
      <w:hyperlink w:anchor="fig-itemrestscore2">
        <w:r>
          <w:rPr>
            <w:rStyle w:val="Hyperlink"/>
          </w:rPr>
          <w:t xml:space="preserve">Figure 11</w:t>
        </w:r>
      </w:hyperlink>
      <w:r>
        <w:t xml:space="preserve">), but also higher levels of false positives. 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indicating underfit for item 12. Items 9, 13, and 18, that were simulated to be misfitting due to loading on a separate dimension, are as expected showing underfit to the Rasch model.</w:t>
      </w:r>
    </w:p>
    <w:bookmarkEnd w:id="98"/>
    <w:bookmarkEnd w:id="99"/>
    <w:bookmarkStart w:id="125"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0"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41.6</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37.6</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32.8</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29.6</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27.6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22.8</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16.8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16.4</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15.6</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11.6</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11.2</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7.6</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6.4</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4.4</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1.6</w:t>
                  </w:r>
                </w:p>
              </w:tc>
            </w:tr>
            <w:tr>
              <w:tc>
                <w:tcPr/>
                <w:p>
                  <w:pPr>
                    <w:pStyle w:val="Compact"/>
                    <w:jc w:val="left"/>
                    <w:jc w:val="center"/>
                  </w:pPr>
                  <w:r>
                    <w:t xml:space="preserve">V17</w:t>
                  </w:r>
                </w:p>
              </w:tc>
              <w:tc>
                <w:tcPr/>
                <w:p>
                  <w:pPr>
                    <w:pStyle w:val="Compact"/>
                    <w:jc w:val="left"/>
                    <w:jc w:val="center"/>
                  </w:pPr>
                  <w:r>
                    <w:t xml:space="preserve">underfit</w:t>
                  </w:r>
                </w:p>
              </w:tc>
              <w:tc>
                <w:tcPr/>
                <w:p>
                  <w:pPr>
                    <w:pStyle w:val="Compact"/>
                    <w:jc w:val="right"/>
                    <w:jc w:val="center"/>
                  </w:pPr>
                  <w:r>
                    <w:t xml:space="preserve">0.4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0.4</w:t>
                  </w:r>
                </w:p>
              </w:tc>
            </w:tr>
            <w:tr>
              <w:tc>
                <w:tcPr/>
                <w:p>
                  <w:pPr>
                    <w:pStyle w:val="Compact"/>
                    <w:jc w:val="left"/>
                    <w:jc w:val="center"/>
                  </w:pPr>
                  <w:r>
                    <w:t xml:space="preserve">V5</w:t>
                  </w:r>
                </w:p>
              </w:tc>
              <w:tc>
                <w:tcPr/>
                <w:p>
                  <w:pPr>
                    <w:pStyle w:val="Compact"/>
                    <w:jc w:val="left"/>
                    <w:jc w:val="center"/>
                  </w:pPr>
                  <w:r>
                    <w:t xml:space="preserve">underfit</w:t>
                  </w:r>
                </w:p>
              </w:tc>
              <w:tc>
                <w:tcPr/>
                <w:p>
                  <w:pPr>
                    <w:pStyle w:val="Compact"/>
                    <w:jc w:val="right"/>
                    <w:jc w:val="center"/>
                  </w:pPr>
                  <w:r>
                    <w:t xml:space="preserve">0.4</w:t>
                  </w:r>
                </w:p>
              </w:tc>
            </w:tr>
          </w:tbl>
          <w:bookmarkEnd w:id="100"/>
          <w:p/>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2"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06" w:name="cell-fig-irb0all"/>
    <w:tbl>
      <w:tblPr>
        <w:tblStyle w:val="Table"/>
        <w:tblW w:type="pct" w:w="5000"/>
        <w:tblLayout w:type="fixed"/>
        <w:tblLook w:firstRow="0" w:lastRow="0" w:firstColumn="0" w:lastColumn="0" w:noHBand="0" w:noVBand="0" w:val="0000"/>
      </w:tblPr>
      <w:tblGrid>
        <w:gridCol w:w="7920"/>
      </w:tblGrid>
      <w:tr>
        <w:tc>
          <w:tcPr/>
          <w:bookmarkStart w:id="105" w:name="fig-irb0all"/>
          <w:p>
            <w:pPr>
              <w:jc w:val="center"/>
            </w:pPr>
            <w:pPr>
              <w:jc w:val="start"/>
              <w:spacing w:before="200"/>
              <w:pStyle w:val="ImageCaption"/>
            </w:pPr>
            <w:r>
              <w:t xml:space="preserve">Figure 12</w:t>
            </w:r>
          </w:p>
          <w:p>
            <w:pPr>
              <w:pStyle w:val="Compact"/>
              <w:jc w:val="center"/>
            </w:pPr>
            <w:bookmarkStart w:id="104" w:name="fig-irb0all"/>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bookmarkEnd w:id="104"/>
          </w:p>
          <w:bookmarkEnd w:id="105"/>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06"/>
    <w:bookmarkStart w:id="111"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8" w:name="tbl-irb0mis-1"/>
                <w:p>
                  <w:pPr>
                    <w:jc w:val="center"/>
                  </w:pPr>
                  <w:pPr>
                    <w:jc w:val="start"/>
                    <w:spacing w:before="200"/>
                    <w:pStyle w:val="ImageCaption"/>
                  </w:pPr>
                  <w:r>
                    <w:t xml:space="preserve">(a) Misfitting items</w:t>
                  </w:r>
                </w:p>
                <w:bookmarkStart w:id="107" w:name="tbl-irb0mis-1"/>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p05</w:t>
                        </w:r>
                      </w:p>
                    </w:tc>
                    <w:tc>
                      <w:tcPr/>
                      <w:p>
                        <w:pPr>
                          <w:pStyle w:val="Compact"/>
                          <w:jc w:val="right"/>
                          <w:jc w:val="center"/>
                        </w:pPr>
                        <w:r>
                          <w:t xml:space="preserve">p01</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c>
                      <w:tcPr/>
                      <w:p>
                        <w:pPr>
                          <w:pStyle w:val="Compact"/>
                          <w:jc w:val="right"/>
                          <w:jc w:val="center"/>
                        </w:pPr>
                        <w:r>
                          <w:t xml:space="preserve">99.6</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c>
                      <w:tcPr/>
                      <w:p>
                        <w:pPr>
                          <w:pStyle w:val="Compact"/>
                          <w:jc w:val="right"/>
                          <w:jc w:val="center"/>
                        </w:pPr>
                        <w:r>
                          <w:t xml:space="preserve">98.0</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c>
                      <w:tcPr/>
                      <w:p>
                        <w:pPr>
                          <w:pStyle w:val="Compact"/>
                          <w:jc w:val="right"/>
                          <w:jc w:val="center"/>
                        </w:pPr>
                        <w:r>
                          <w:t xml:space="preserve">64.0</w:t>
                        </w:r>
                      </w:p>
                    </w:tc>
                  </w:tr>
                </w:tbl>
                <w:bookmarkEnd w:id="107"/>
                <w:bookmarkEnd w:id="108"/>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2"/>
                <w:p>
                  <w:pPr>
                    <w:jc w:val="center"/>
                  </w:pPr>
                  <w:pPr>
                    <w:jc w:val="start"/>
                    <w:spacing w:before="200"/>
                    <w:pStyle w:val="ImageCaption"/>
                  </w:pPr>
                  <w:r>
                    <w:t xml:space="preserve">(b) False positives</w:t>
                  </w:r>
                </w:p>
                <w:bookmarkStart w:id="109" w:name="tbl-irb0mis-2"/>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p95</w:t>
                        </w:r>
                      </w:p>
                    </w:tc>
                    <w:tc>
                      <w:tcPr/>
                      <w:p>
                        <w:pPr>
                          <w:pStyle w:val="Compact"/>
                          <w:jc w:val="right"/>
                          <w:jc w:val="center"/>
                        </w:pPr>
                        <w:r>
                          <w:t xml:space="preserve">p99</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c>
                      <w:tcPr/>
                      <w:p>
                        <w:pPr>
                          <w:pStyle w:val="Compact"/>
                          <w:jc w:val="right"/>
                          <w:jc w:val="center"/>
                        </w:pPr>
                        <w:r>
                          <w:t xml:space="preserve">70.0</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c>
                      <w:tcPr/>
                      <w:p>
                        <w:pPr>
                          <w:pStyle w:val="Compact"/>
                          <w:jc w:val="right"/>
                          <w:jc w:val="center"/>
                        </w:pPr>
                        <w:r>
                          <w:t xml:space="preserve">65.6</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c>
                      <w:tcPr/>
                      <w:p>
                        <w:pPr>
                          <w:pStyle w:val="Compact"/>
                          <w:jc w:val="right"/>
                          <w:jc w:val="center"/>
                        </w:pPr>
                        <w:r>
                          <w:t xml:space="preserve">64.0</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c>
                      <w:tcPr/>
                      <w:p>
                        <w:pPr>
                          <w:pStyle w:val="Compact"/>
                          <w:jc w:val="right"/>
                          <w:jc w:val="center"/>
                        </w:pPr>
                        <w:r>
                          <w:t xml:space="preserve">62.4</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c>
                      <w:tcPr/>
                      <w:p>
                        <w:pPr>
                          <w:pStyle w:val="Compact"/>
                          <w:jc w:val="right"/>
                          <w:jc w:val="center"/>
                        </w:pPr>
                        <w:r>
                          <w:t xml:space="preserve">61.7</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c>
                      <w:tcPr/>
                      <w:p>
                        <w:pPr>
                          <w:pStyle w:val="Compact"/>
                          <w:jc w:val="right"/>
                          <w:jc w:val="center"/>
                        </w:pPr>
                        <w:r>
                          <w:t xml:space="preserve">59.7</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c>
                      <w:tcPr/>
                      <w:p>
                        <w:pPr>
                          <w:pStyle w:val="Compact"/>
                          <w:jc w:val="right"/>
                          <w:jc w:val="center"/>
                        </w:pPr>
                        <w:r>
                          <w:t xml:space="preserve">58.5</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c>
                      <w:tcPr/>
                      <w:p>
                        <w:pPr>
                          <w:pStyle w:val="Compact"/>
                          <w:jc w:val="right"/>
                          <w:jc w:val="center"/>
                        </w:pPr>
                        <w:r>
                          <w:t xml:space="preserve">58.4</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c>
                      <w:tcPr/>
                      <w:p>
                        <w:pPr>
                          <w:pStyle w:val="Compact"/>
                          <w:jc w:val="right"/>
                          <w:jc w:val="center"/>
                        </w:pPr>
                        <w:r>
                          <w:t xml:space="preserve">57.2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c>
                      <w:tcPr/>
                      <w:p>
                        <w:pPr>
                          <w:pStyle w:val="Compact"/>
                          <w:jc w:val="right"/>
                          <w:jc w:val="center"/>
                        </w:pPr>
                        <w:r>
                          <w:t xml:space="preserve">52.8</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c>
                      <w:tcPr/>
                      <w:p>
                        <w:pPr>
                          <w:pStyle w:val="Compact"/>
                          <w:jc w:val="right"/>
                          <w:jc w:val="center"/>
                        </w:pPr>
                        <w:r>
                          <w:t xml:space="preserve">51.7</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c>
                      <w:tcPr/>
                      <w:p>
                        <w:pPr>
                          <w:pStyle w:val="Compact"/>
                          <w:jc w:val="right"/>
                          <w:jc w:val="center"/>
                        </w:pPr>
                        <w:r>
                          <w:t xml:space="preserve">49.3</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c>
                      <w:tcPr/>
                      <w:p>
                        <w:pPr>
                          <w:pStyle w:val="Compact"/>
                          <w:jc w:val="right"/>
                          <w:jc w:val="center"/>
                        </w:pPr>
                        <w:r>
                          <w:t xml:space="preserve">47.0</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c>
                      <w:tcPr/>
                      <w:p>
                        <w:pPr>
                          <w:pStyle w:val="Compact"/>
                          <w:jc w:val="right"/>
                          <w:jc w:val="center"/>
                        </w:pPr>
                        <w:r>
                          <w:t xml:space="preserve">41.4</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c>
                      <w:tcPr/>
                      <w:p>
                        <w:pPr>
                          <w:pStyle w:val="Compact"/>
                          <w:jc w:val="right"/>
                          <w:jc w:val="center"/>
                        </w:pPr>
                        <w:r>
                          <w:t xml:space="preserve">40.1</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c>
                      <w:tcPr/>
                      <w:p>
                        <w:pPr>
                          <w:pStyle w:val="Compact"/>
                          <w:jc w:val="right"/>
                          <w:jc w:val="center"/>
                        </w:pPr>
                        <w:r>
                          <w:t xml:space="preserve">32.6</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c>
                      <w:tcPr/>
                      <w:p>
                        <w:pPr>
                          <w:pStyle w:val="Compact"/>
                          <w:jc w:val="right"/>
                          <w:jc w:val="center"/>
                        </w:pPr>
                        <w:r>
                          <w:t xml:space="preserve">19.5</w:t>
                        </w:r>
                      </w:p>
                    </w:tc>
                  </w:tr>
                </w:tbl>
                <w:bookmarkEnd w:id="109"/>
                <w:bookmarkEnd w:id="110"/>
                <w:p/>
              </w:tc>
            </w:tr>
          </w:tbl>
          <w:p/>
        </w:tc>
      </w:tr>
    </w:tbl>
    <w:p>
      <w:pPr>
        <w:pStyle w:val="BodyText"/>
      </w:pPr>
      <w:pPr>
        <w:spacing w:before="200"/>
        <w:pStyle w:val="ImageCaption"/>
      </w:pPr>
      <w:r>
        <w:t xml:space="preserve">Table 4: Summary statistics for item-restscore bootstrap simulation</w:t>
      </w:r>
    </w:p>
    <w:bookmarkEnd w:id="111"/>
    <w:p>
      <w:pPr>
        <w:pStyle w:val="BodyText"/>
      </w:pPr>
      <w:hyperlink w:anchor="fig-irb0all">
        <w:r>
          <w:rPr>
            <w:rStyle w:val="Hyperlink"/>
          </w:rPr>
          <w:t xml:space="preserve">Figure 12</w:t>
        </w:r>
      </w:hyperlink>
      <w:r>
        <w:t xml:space="preserve"> </w:t>
      </w:r>
      <w:r>
        <w:t xml:space="preserve">shows that there is variation in false positive rate, but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2"/>
    <w:bookmarkStart w:id="124"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bootstraps for item-restscore in each simulation.</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18" w:name="cell-fig-irboot150"/>
    <w:tbl>
      <w:tblPr>
        <w:tblStyle w:val="Table"/>
        <w:tblW w:type="pct" w:w="5000"/>
        <w:tblLayout w:type="fixed"/>
        <w:tblLook w:firstRow="0" w:lastRow="0" w:firstColumn="0" w:lastColumn="0" w:noHBand="0" w:noVBand="0" w:val="0000"/>
      </w:tblPr>
      <w:tblGrid>
        <w:gridCol w:w="7920"/>
      </w:tblGrid>
      <w:tr>
        <w:tc>
          <w:tcPr/>
          <w:bookmarkStart w:id="117" w:name="fig-irboot150"/>
          <w:p>
            <w:pPr>
              <w:jc w:val="center"/>
            </w:pPr>
            <w:pPr>
              <w:jc w:val="start"/>
              <w:spacing w:before="200"/>
              <w:pStyle w:val="ImageCaption"/>
            </w:pPr>
            <w:r>
              <w:t xml:space="preserve">Figure 13</w:t>
            </w:r>
          </w:p>
          <w:p>
            <w:pPr>
              <w:pStyle w:val="Compact"/>
              <w:jc w:val="center"/>
            </w:pPr>
            <w:bookmarkStart w:id="116" w:name="fig-irboot150"/>
            <w:r>
              <w:drawing>
                <wp:inline>
                  <wp:extent cx="5943600" cy="5488812"/>
                  <wp:effectExtent b="0" l="0" r="0" t="0"/>
                  <wp:docPr descr="" title="" id="114" name="Picture"/>
                  <a:graphic>
                    <a:graphicData uri="http://schemas.openxmlformats.org/drawingml/2006/picture">
                      <pic:pic>
                        <pic:nvPicPr>
                          <pic:cNvPr descr="index_files/figure-docx/fig-irboot150-1.png" id="115" name="Picture"/>
                          <pic:cNvPicPr>
                            <a:picLocks noChangeArrowheads="1" noChangeAspect="1"/>
                          </pic:cNvPicPr>
                        </pic:nvPicPr>
                        <pic:blipFill>
                          <a:blip r:embed="rId113"/>
                          <a:stretch>
                            <a:fillRect/>
                          </a:stretch>
                        </pic:blipFill>
                        <pic:spPr bwMode="auto">
                          <a:xfrm>
                            <a:off x="0" y="0"/>
                            <a:ext cx="5943600" cy="5488812"/>
                          </a:xfrm>
                          <a:prstGeom prst="rect">
                            <a:avLst/>
                          </a:prstGeom>
                          <a:noFill/>
                          <a:ln w="9525">
                            <a:noFill/>
                            <a:headEnd/>
                            <a:tailEnd/>
                          </a:ln>
                        </pic:spPr>
                      </pic:pic>
                    </a:graphicData>
                  </a:graphic>
                </wp:inline>
              </w:drawing>
            </w:r>
            <w:bookmarkEnd w:id="116"/>
          </w:p>
          <w:bookmarkEnd w:id="117"/>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18"/>
    <w:p>
      <w:pPr>
        <w:pStyle w:val="BodyText"/>
      </w:pPr>
      <w:r>
        <w:t xml:space="preserve">The bootstrapping does not improve on the single instance of item-restscore for the n = 150 condition (see</w:t>
      </w:r>
      <w:r>
        <w:t xml:space="preserve"> </w:t>
      </w:r>
      <w:hyperlink w:anchor="fig-irboot150">
        <w:r>
          <w:rPr>
            <w:rStyle w:val="Hyperlink"/>
          </w:rPr>
          <w:t xml:space="preserve">Figure 13</w:t>
        </w:r>
      </w:hyperlink>
      <w:r>
        <w:t xml:space="preserve">). When comparing to the previous results in</w:t>
      </w:r>
      <w:r>
        <w:t xml:space="preserve"> </w:t>
      </w:r>
      <w:hyperlink w:anchor="fig-itemrestscore2">
        <w:r>
          <w:rPr>
            <w:rStyle w:val="Hyperlink"/>
          </w:rPr>
          <w:t xml:space="preserve">Figure 11</w:t>
        </w:r>
      </w:hyperlink>
      <w:r>
        <w:t xml:space="preserve">, where the detection rate for the same sample size were at 49.2%, 14.6%, and 34.6% (for items 9, 13, and 18 respectively), the corresponding median values from the bootstrapped item-restscore with 250 iterations were 51.6%, 12.4%, and 37.2%. Using 500 bootstrap iterations did not result in relevant improvements over 250 iterations (see</w:t>
      </w:r>
      <w:r>
        <w:t xml:space="preserve"> </w:t>
      </w:r>
      <w:hyperlink w:anchor="tbl-irb150mis">
        <w:r>
          <w:rPr>
            <w:rStyle w:val="Hyperlink"/>
          </w:rPr>
          <w:t xml:space="preserve">Table 5</w:t>
        </w:r>
      </w:hyperlink>
      <w:r>
        <w:t xml:space="preserve">).</w:t>
      </w:r>
    </w:p>
    <w:bookmarkStart w:id="123" w:name="tbl-irb15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20" w:name="tbl-irb150mis-1"/>
                <w:p>
                  <w:pPr>
                    <w:jc w:val="center"/>
                  </w:pPr>
                  <w:pPr>
                    <w:jc w:val="start"/>
                    <w:spacing w:before="200"/>
                    <w:pStyle w:val="ImageCaption"/>
                  </w:pPr>
                  <w:r>
                    <w:t xml:space="preserve">(a) 250 bootstrap iterations</w:t>
                  </w:r>
                </w:p>
                <w:bookmarkStart w:id="119" w:name="tbl-irb150mis-1"/>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p05</w:t>
                        </w:r>
                      </w:p>
                    </w:tc>
                    <w:tc>
                      <w:tcPr/>
                      <w:p>
                        <w:pPr>
                          <w:pStyle w:val="Compact"/>
                          <w:jc w:val="right"/>
                          <w:jc w:val="center"/>
                        </w:pPr>
                        <w:r>
                          <w:t xml:space="preserve">p01</w:t>
                        </w:r>
                      </w:p>
                    </w:tc>
                  </w:tr>
                  <w:tr>
                    <w:tc>
                      <w:tcPr/>
                      <w:p>
                        <w:pPr>
                          <w:pStyle w:val="Compact"/>
                          <w:jc w:val="left"/>
                          <w:jc w:val="center"/>
                        </w:pPr>
                        <w:r>
                          <w:t xml:space="preserve">V13</w:t>
                        </w:r>
                      </w:p>
                    </w:tc>
                    <w:tc>
                      <w:tcPr/>
                      <w:p>
                        <w:pPr>
                          <w:pStyle w:val="Compact"/>
                          <w:jc w:val="right"/>
                          <w:jc w:val="center"/>
                        </w:pPr>
                        <w:r>
                          <w:t xml:space="preserve">12.4</w:t>
                        </w:r>
                      </w:p>
                    </w:tc>
                    <w:tc>
                      <w:tcPr/>
                      <w:p>
                        <w:pPr>
                          <w:pStyle w:val="Compact"/>
                          <w:jc w:val="right"/>
                          <w:jc w:val="center"/>
                        </w:pPr>
                        <w:r>
                          <w:t xml:space="preserve">17.8</w:t>
                        </w:r>
                      </w:p>
                    </w:tc>
                    <w:tc>
                      <w:tcPr/>
                      <w:p>
                        <w:pPr>
                          <w:pStyle w:val="Compact"/>
                          <w:jc w:val="right"/>
                          <w:jc w:val="center"/>
                        </w:pPr>
                        <w:r>
                          <w:t xml:space="preserve">22.5</w:t>
                        </w:r>
                      </w:p>
                    </w:tc>
                    <w:tc>
                      <w:tcPr/>
                      <w:p>
                        <w:pPr>
                          <w:pStyle w:val="Compact"/>
                          <w:jc w:val="right"/>
                          <w:jc w:val="center"/>
                        </w:pPr>
                        <w:r>
                          <w:t xml:space="preserve">24.7</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36.2</w:t>
                        </w:r>
                      </w:p>
                    </w:tc>
                    <w:tc>
                      <w:tcPr/>
                      <w:p>
                        <w:pPr>
                          <w:pStyle w:val="Compact"/>
                          <w:jc w:val="right"/>
                          <w:jc w:val="center"/>
                        </w:pPr>
                        <w:r>
                          <w:t xml:space="preserve">40.4</w:t>
                        </w:r>
                      </w:p>
                    </w:tc>
                    <w:tc>
                      <w:tcPr/>
                      <w:p>
                        <w:pPr>
                          <w:pStyle w:val="Compact"/>
                          <w:jc w:val="right"/>
                          <w:jc w:val="center"/>
                        </w:pPr>
                        <w:r>
                          <w:t xml:space="preserve">28.4</w:t>
                        </w:r>
                      </w:p>
                    </w:tc>
                    <w:tc>
                      <w:tcPr/>
                      <w:p>
                        <w:pPr>
                          <w:pStyle w:val="Compact"/>
                          <w:jc w:val="right"/>
                          <w:jc w:val="center"/>
                        </w:pPr>
                        <w:r>
                          <w:t xml:space="preserve">0.9</w:t>
                        </w:r>
                      </w:p>
                    </w:tc>
                    <w:tc>
                      <w:tcPr/>
                      <w:p>
                        <w:pPr>
                          <w:pStyle w:val="Compact"/>
                          <w:jc w:val="right"/>
                          <w:jc w:val="center"/>
                        </w:pPr>
                        <w:r>
                          <w:t xml:space="preserve">0.4</w:t>
                        </w:r>
                      </w:p>
                    </w:tc>
                  </w:tr>
                  <w:tr>
                    <w:tc>
                      <w:tcPr/>
                      <w:p>
                        <w:pPr>
                          <w:pStyle w:val="Compact"/>
                          <w:jc w:val="left"/>
                          <w:jc w:val="center"/>
                        </w:pPr>
                        <w:r>
                          <w:t xml:space="preserve">V9</w:t>
                        </w:r>
                      </w:p>
                    </w:tc>
                    <w:tc>
                      <w:tcPr/>
                      <w:p>
                        <w:pPr>
                          <w:pStyle w:val="Compact"/>
                          <w:jc w:val="right"/>
                          <w:jc w:val="center"/>
                        </w:pPr>
                        <w:r>
                          <w:t xml:space="preserve">51.6</w:t>
                        </w:r>
                      </w:p>
                    </w:tc>
                    <w:tc>
                      <w:tcPr/>
                      <w:p>
                        <w:pPr>
                          <w:pStyle w:val="Compact"/>
                          <w:jc w:val="right"/>
                          <w:jc w:val="center"/>
                        </w:pPr>
                        <w:r>
                          <w:t xml:space="preserve">38.0</w:t>
                        </w:r>
                      </w:p>
                    </w:tc>
                    <w:tc>
                      <w:tcPr/>
                      <w:p>
                        <w:pPr>
                          <w:pStyle w:val="Compact"/>
                          <w:jc w:val="right"/>
                          <w:jc w:val="center"/>
                        </w:pPr>
                        <w:r>
                          <w:t xml:space="preserve">50.4</w:t>
                        </w:r>
                      </w:p>
                    </w:tc>
                    <w:tc>
                      <w:tcPr/>
                      <w:p>
                        <w:pPr>
                          <w:pStyle w:val="Compact"/>
                          <w:jc w:val="right"/>
                          <w:jc w:val="center"/>
                        </w:pPr>
                        <w:r>
                          <w:t xml:space="preserve">29.8</w:t>
                        </w:r>
                      </w:p>
                    </w:tc>
                    <w:tc>
                      <w:tcPr/>
                      <w:p>
                        <w:pPr>
                          <w:pStyle w:val="Compact"/>
                          <w:jc w:val="right"/>
                          <w:jc w:val="center"/>
                        </w:pPr>
                        <w:r>
                          <w:t xml:space="preserve">2.9</w:t>
                        </w:r>
                      </w:p>
                    </w:tc>
                    <w:tc>
                      <w:tcPr/>
                      <w:p>
                        <w:pPr>
                          <w:pStyle w:val="Compact"/>
                          <w:jc w:val="right"/>
                          <w:jc w:val="center"/>
                        </w:pPr>
                        <w:r>
                          <w:t xml:space="preserve">0.4</w:t>
                        </w:r>
                      </w:p>
                    </w:tc>
                  </w:tr>
                </w:tbl>
                <w:bookmarkEnd w:id="119"/>
                <w:bookmarkEnd w:id="12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22" w:name="tbl-irb150mis-2"/>
                <w:p>
                  <w:pPr>
                    <w:jc w:val="center"/>
                  </w:pPr>
                  <w:pPr>
                    <w:jc w:val="start"/>
                    <w:spacing w:before="200"/>
                    <w:pStyle w:val="ImageCaption"/>
                  </w:pPr>
                  <w:r>
                    <w:t xml:space="preserve">(b) 500 bootstrap iterations</w:t>
                  </w:r>
                </w:p>
                <w:bookmarkStart w:id="121" w:name="tbl-irb150mis-2"/>
                <w:tbl>
                  <w:tblPr>
                    <w:tblStyle w:val="Table"/>
                    <w:tblW w:type="pct" w:w="4900"/>
                    <w:tblLayout w:type="fixed"/>
                    <w:tblLook w:firstRow="1" w:lastRow="0" w:firstColumn="0" w:lastColumn="0" w:noHBand="0" w:noVBand="0" w:val="0020"/>
                  </w:tblPr>
                  <w:tblGrid>
                    <w:gridCol w:w="1108"/>
                    <w:gridCol w:w="1108"/>
                    <w:gridCol w:w="1108"/>
                    <w:gridCol w:w="1108"/>
                    <w:gridCol w:w="1108"/>
                    <w:gridCol w:w="1108"/>
                    <w:gridCol w:w="1108"/>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p05</w:t>
                        </w:r>
                      </w:p>
                    </w:tc>
                    <w:tc>
                      <w:tcPr/>
                      <w:p>
                        <w:pPr>
                          <w:pStyle w:val="Compact"/>
                          <w:jc w:val="right"/>
                          <w:jc w:val="center"/>
                        </w:pPr>
                        <w:r>
                          <w:t xml:space="preserve">p01</w:t>
                        </w:r>
                      </w:p>
                    </w:tc>
                  </w:tr>
                  <w:tr>
                    <w:tc>
                      <w:tcPr/>
                      <w:p>
                        <w:pPr>
                          <w:pStyle w:val="Compact"/>
                          <w:jc w:val="left"/>
                          <w:jc w:val="center"/>
                        </w:pPr>
                        <w:r>
                          <w:t xml:space="preserve">V13</w:t>
                        </w:r>
                      </w:p>
                    </w:tc>
                    <w:tc>
                      <w:tcPr/>
                      <w:p>
                        <w:pPr>
                          <w:pStyle w:val="Compact"/>
                          <w:jc w:val="right"/>
                          <w:jc w:val="center"/>
                        </w:pPr>
                        <w:r>
                          <w:t xml:space="preserve">12.7</w:t>
                        </w:r>
                      </w:p>
                    </w:tc>
                    <w:tc>
                      <w:tcPr/>
                      <w:p>
                        <w:pPr>
                          <w:pStyle w:val="Compact"/>
                          <w:jc w:val="right"/>
                          <w:jc w:val="center"/>
                        </w:pPr>
                        <w:r>
                          <w:t xml:space="preserve">17.9</w:t>
                        </w:r>
                      </w:p>
                    </w:tc>
                    <w:tc>
                      <w:tcPr/>
                      <w:p>
                        <w:pPr>
                          <w:pStyle w:val="Compact"/>
                          <w:jc w:val="right"/>
                          <w:jc w:val="center"/>
                        </w:pPr>
                        <w:r>
                          <w:t xml:space="preserve">21.9</w:t>
                        </w:r>
                      </w:p>
                    </w:tc>
                    <w:tc>
                      <w:tcPr/>
                      <w:p>
                        <w:pPr>
                          <w:pStyle w:val="Compact"/>
                          <w:jc w:val="right"/>
                          <w:jc w:val="center"/>
                        </w:pPr>
                        <w:r>
                          <w:t xml:space="preserve">24.3</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V18</w:t>
                        </w:r>
                      </w:p>
                    </w:tc>
                    <w:tc>
                      <w:tcPr/>
                      <w:p>
                        <w:pPr>
                          <w:pStyle w:val="Compact"/>
                          <w:jc w:val="right"/>
                          <w:jc w:val="center"/>
                        </w:pPr>
                        <w:r>
                          <w:t xml:space="preserve">35.6</w:t>
                        </w:r>
                      </w:p>
                    </w:tc>
                    <w:tc>
                      <w:tcPr/>
                      <w:p>
                        <w:pPr>
                          <w:pStyle w:val="Compact"/>
                          <w:jc w:val="right"/>
                          <w:jc w:val="center"/>
                        </w:pPr>
                        <w:r>
                          <w:t xml:space="preserve">38.3</w:t>
                        </w:r>
                      </w:p>
                    </w:tc>
                    <w:tc>
                      <w:tcPr/>
                      <w:p>
                        <w:pPr>
                          <w:pStyle w:val="Compact"/>
                          <w:jc w:val="right"/>
                          <w:jc w:val="center"/>
                        </w:pPr>
                        <w:r>
                          <w:t xml:space="preserve">38.7</w:t>
                        </w:r>
                      </w:p>
                    </w:tc>
                    <w:tc>
                      <w:tcPr/>
                      <w:p>
                        <w:pPr>
                          <w:pStyle w:val="Compact"/>
                          <w:jc w:val="right"/>
                          <w:jc w:val="center"/>
                        </w:pPr>
                        <w:r>
                          <w:t xml:space="preserve">28.8</w:t>
                        </w:r>
                      </w:p>
                    </w:tc>
                    <w:tc>
                      <w:tcPr/>
                      <w:p>
                        <w:pPr>
                          <w:pStyle w:val="Compact"/>
                          <w:jc w:val="right"/>
                          <w:jc w:val="center"/>
                        </w:pPr>
                        <w:r>
                          <w:t xml:space="preserve">0.3</w:t>
                        </w:r>
                      </w:p>
                    </w:tc>
                    <w:tc>
                      <w:tcPr/>
                      <w:p>
                        <w:pPr>
                          <w:pStyle w:val="Compact"/>
                          <w:jc w:val="right"/>
                          <w:jc w:val="center"/>
                        </w:pPr>
                        <w:r>
                          <w:t xml:space="preserve">0.2</w:t>
                        </w:r>
                      </w:p>
                    </w:tc>
                  </w:tr>
                  <w:tr>
                    <w:tc>
                      <w:tcPr/>
                      <w:p>
                        <w:pPr>
                          <w:pStyle w:val="Compact"/>
                          <w:jc w:val="left"/>
                          <w:jc w:val="center"/>
                        </w:pPr>
                        <w:r>
                          <w:t xml:space="preserve">V9</w:t>
                        </w:r>
                      </w:p>
                    </w:tc>
                    <w:tc>
                      <w:tcPr/>
                      <w:p>
                        <w:pPr>
                          <w:pStyle w:val="Compact"/>
                          <w:jc w:val="right"/>
                          <w:jc w:val="center"/>
                        </w:pPr>
                        <w:r>
                          <w:t xml:space="preserve">53.0</w:t>
                        </w:r>
                      </w:p>
                    </w:tc>
                    <w:tc>
                      <w:tcPr/>
                      <w:p>
                        <w:pPr>
                          <w:pStyle w:val="Compact"/>
                          <w:jc w:val="right"/>
                          <w:jc w:val="center"/>
                        </w:pPr>
                        <w:r>
                          <w:t xml:space="preserve">39.1</w:t>
                        </w:r>
                      </w:p>
                    </w:tc>
                    <w:tc>
                      <w:tcPr/>
                      <w:p>
                        <w:pPr>
                          <w:pStyle w:val="Compact"/>
                          <w:jc w:val="right"/>
                          <w:jc w:val="center"/>
                        </w:pPr>
                        <w:r>
                          <w:t xml:space="preserve">50.3</w:t>
                        </w:r>
                      </w:p>
                    </w:tc>
                    <w:tc>
                      <w:tcPr/>
                      <w:p>
                        <w:pPr>
                          <w:pStyle w:val="Compact"/>
                          <w:jc w:val="right"/>
                          <w:jc w:val="center"/>
                        </w:pPr>
                        <w:r>
                          <w:t xml:space="preserve">29.9</w:t>
                        </w:r>
                      </w:p>
                    </w:tc>
                    <w:tc>
                      <w:tcPr/>
                      <w:p>
                        <w:pPr>
                          <w:pStyle w:val="Compact"/>
                          <w:jc w:val="right"/>
                          <w:jc w:val="center"/>
                        </w:pPr>
                        <w:r>
                          <w:t xml:space="preserve">3.6</w:t>
                        </w:r>
                      </w:p>
                    </w:tc>
                    <w:tc>
                      <w:tcPr/>
                      <w:p>
                        <w:pPr>
                          <w:pStyle w:val="Compact"/>
                          <w:jc w:val="right"/>
                          <w:jc w:val="center"/>
                        </w:pPr>
                        <w:r>
                          <w:t xml:space="preserve">0.2</w:t>
                        </w:r>
                      </w:p>
                    </w:tc>
                  </w:tr>
                </w:tbl>
                <w:bookmarkEnd w:id="121"/>
                <w:bookmarkEnd w:id="122"/>
                <w:p/>
              </w:tc>
            </w:tr>
          </w:tbl>
          <w:p/>
        </w:tc>
      </w:tr>
    </w:tbl>
    <w:p>
      <w:pPr>
        <w:pStyle w:val="BodyText"/>
      </w:pPr>
      <w:pPr>
        <w:spacing w:before="200"/>
        <w:pStyle w:val="ImageCaption"/>
      </w:pPr>
      <w:r>
        <w:t xml:space="preserve">Table 5: Summary statistics for item-restscore bootstrap simulation (n = 150)</w:t>
      </w:r>
    </w:p>
    <w:bookmarkEnd w:id="123"/>
    <w:bookmarkEnd w:id="124"/>
    <w:bookmarkEnd w:id="125"/>
    <w:bookmarkStart w:id="146" w:name="study-5-varying-number-of-items"/>
    <w:p>
      <w:pPr>
        <w:pStyle w:val="Heading1"/>
      </w:pPr>
      <w:r>
        <w:t xml:space="preserve">7. Study 5: Varying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Start w:id="138" w:name="results-40-items"/>
    <w:p>
      <w:pPr>
        <w:pStyle w:val="Heading2"/>
      </w:pPr>
      <w:r>
        <w:t xml:space="preserve">7.1 Results 40 items</w:t>
      </w:r>
    </w:p>
    <w:bookmarkStart w:id="131" w:name="cell-fig-ifb40"/>
    <w:tbl>
      <w:tblPr>
        <w:tblStyle w:val="Table"/>
        <w:tblW w:type="pct" w:w="5000"/>
        <w:tblLayout w:type="fixed"/>
        <w:tblLook w:firstRow="0" w:lastRow="0" w:firstColumn="0" w:lastColumn="0" w:noHBand="0" w:noVBand="0" w:val="0000"/>
      </w:tblPr>
      <w:tblGrid>
        <w:gridCol w:w="7920"/>
      </w:tblGrid>
      <w:tr>
        <w:tc>
          <w:tcPr/>
          <w:bookmarkStart w:id="130" w:name="fig-ifb40"/>
          <w:p>
            <w:pPr>
              <w:jc w:val="center"/>
            </w:pPr>
            <w:pPr>
              <w:jc w:val="start"/>
              <w:spacing w:before="200"/>
              <w:pStyle w:val="ImageCaption"/>
            </w:pPr>
            <w:r>
              <w:t xml:space="preserve">Figure 14</w:t>
            </w:r>
          </w:p>
          <w:p>
            <w:pPr>
              <w:pStyle w:val="Compact"/>
              <w:jc w:val="center"/>
            </w:pPr>
            <w:bookmarkStart w:id="129" w:name="fig-ifb40"/>
            <w:r>
              <w:drawing>
                <wp:inline>
                  <wp:extent cx="5943600" cy="4574010"/>
                  <wp:effectExtent b="0" l="0" r="0" t="0"/>
                  <wp:docPr descr="" title="" id="127" name="Picture"/>
                  <a:graphic>
                    <a:graphicData uri="http://schemas.openxmlformats.org/drawingml/2006/picture">
                      <pic:pic>
                        <pic:nvPicPr>
                          <pic:cNvPr descr="index_files/figure-docx/fig-ifb40-1.png" id="128" name="Picture"/>
                          <pic:cNvPicPr>
                            <a:picLocks noChangeArrowheads="1" noChangeAspect="1"/>
                          </pic:cNvPicPr>
                        </pic:nvPicPr>
                        <pic:blipFill>
                          <a:blip r:embed="rId126"/>
                          <a:stretch>
                            <a:fillRect/>
                          </a:stretch>
                        </pic:blipFill>
                        <pic:spPr bwMode="auto">
                          <a:xfrm>
                            <a:off x="0" y="0"/>
                            <a:ext cx="5943600" cy="4574010"/>
                          </a:xfrm>
                          <a:prstGeom prst="rect">
                            <a:avLst/>
                          </a:prstGeom>
                          <a:noFill/>
                          <a:ln w="9525">
                            <a:noFill/>
                            <a:headEnd/>
                            <a:tailEnd/>
                          </a:ln>
                        </pic:spPr>
                      </pic:pic>
                    </a:graphicData>
                  </a:graphic>
                </wp:inline>
              </w:drawing>
            </w:r>
            <w:bookmarkEnd w:id="129"/>
          </w:p>
          <w:bookmarkEnd w:id="130"/>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31"/>
    <w:bookmarkStart w:id="137" w:name="cell-fig-itemrestscore40"/>
    <w:tbl>
      <w:tblPr>
        <w:tblStyle w:val="Table"/>
        <w:tblW w:type="pct" w:w="5000"/>
        <w:tblLayout w:type="fixed"/>
        <w:tblLook w:firstRow="0" w:lastRow="0" w:firstColumn="0" w:lastColumn="0" w:noHBand="0" w:noVBand="0" w:val="0000"/>
      </w:tblPr>
      <w:tblGrid>
        <w:gridCol w:w="7920"/>
      </w:tblGrid>
      <w:tr>
        <w:tc>
          <w:tcPr/>
          <w:bookmarkStart w:id="136" w:name="fig-itemrestscore40"/>
          <w:p>
            <w:pPr>
              <w:jc w:val="center"/>
            </w:pPr>
            <w:pPr>
              <w:jc w:val="start"/>
              <w:spacing w:before="200"/>
              <w:pStyle w:val="ImageCaption"/>
            </w:pPr>
            <w:r>
              <w:t xml:space="preserve">Figure 15</w:t>
            </w:r>
          </w:p>
          <w:p>
            <w:pPr>
              <w:pStyle w:val="Compact"/>
              <w:jc w:val="center"/>
            </w:pPr>
            <w:bookmarkStart w:id="135" w:name="fig-itemrestscore40"/>
            <w:r>
              <w:drawing>
                <wp:inline>
                  <wp:extent cx="5943600" cy="4574010"/>
                  <wp:effectExtent b="0" l="0" r="0" t="0"/>
                  <wp:docPr descr="" title="" id="133" name="Picture"/>
                  <a:graphic>
                    <a:graphicData uri="http://schemas.openxmlformats.org/drawingml/2006/picture">
                      <pic:pic>
                        <pic:nvPicPr>
                          <pic:cNvPr descr="index_files/figure-docx/fig-itemrestscore40-1.png" id="134" name="Picture"/>
                          <pic:cNvPicPr>
                            <a:picLocks noChangeArrowheads="1" noChangeAspect="1"/>
                          </pic:cNvPicPr>
                        </pic:nvPicPr>
                        <pic:blipFill>
                          <a:blip r:embed="rId132"/>
                          <a:stretch>
                            <a:fillRect/>
                          </a:stretch>
                        </pic:blipFill>
                        <pic:spPr bwMode="auto">
                          <a:xfrm>
                            <a:off x="0" y="0"/>
                            <a:ext cx="5943600" cy="4574010"/>
                          </a:xfrm>
                          <a:prstGeom prst="rect">
                            <a:avLst/>
                          </a:prstGeom>
                          <a:noFill/>
                          <a:ln w="9525">
                            <a:noFill/>
                            <a:headEnd/>
                            <a:tailEnd/>
                          </a:ln>
                        </pic:spPr>
                      </pic:pic>
                    </a:graphicData>
                  </a:graphic>
                </wp:inline>
              </w:drawing>
            </w:r>
            <w:bookmarkEnd w:id="135"/>
          </w:p>
          <w:bookmarkEnd w:id="136"/>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37"/>
    <w:p>
      <w:pPr>
        <w:pStyle w:val="BodyText"/>
      </w:pPr>
      <w:r>
        <w:t xml:space="preserve">Infit performs better when sample size is 150 or 250 (see</w:t>
      </w:r>
      <w:r>
        <w:t xml:space="preserve"> </w:t>
      </w:r>
      <w:hyperlink w:anchor="fig-ifb40">
        <w:r>
          <w:rPr>
            <w:rStyle w:val="Hyperlink"/>
          </w:rPr>
          <w:t xml:space="preserve">Figure 14</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15</w:t>
        </w:r>
      </w:hyperlink>
      <w:r>
        <w:t xml:space="preserve">).</w:t>
      </w:r>
    </w:p>
    <w:bookmarkEnd w:id="138"/>
    <w:bookmarkStart w:id="145" w:name="results-10-items"/>
    <w:p>
      <w:pPr>
        <w:pStyle w:val="Heading2"/>
      </w:pPr>
      <w:r>
        <w:t xml:space="preserve">7.2 Results 10 items</w:t>
      </w:r>
    </w:p>
    <w:bookmarkStart w:id="144" w:name="cell-fig-itemrestscore10"/>
    <w:tbl>
      <w:tblPr>
        <w:tblStyle w:val="Table"/>
        <w:tblW w:type="pct" w:w="5000"/>
        <w:tblLayout w:type="fixed"/>
        <w:tblLook w:firstRow="0" w:lastRow="0" w:firstColumn="0" w:lastColumn="0" w:noHBand="0" w:noVBand="0" w:val="0000"/>
      </w:tblPr>
      <w:tblGrid>
        <w:gridCol w:w="7920"/>
      </w:tblGrid>
      <w:tr>
        <w:tc>
          <w:tcPr/>
          <w:bookmarkStart w:id="143" w:name="fig-itemrestscore10"/>
          <w:p>
            <w:pPr>
              <w:jc w:val="center"/>
            </w:pPr>
            <w:pPr>
              <w:jc w:val="start"/>
              <w:spacing w:before="200"/>
              <w:pStyle w:val="ImageCaption"/>
            </w:pPr>
            <w:r>
              <w:t xml:space="preserve">Figure 16</w:t>
            </w:r>
          </w:p>
          <w:p>
            <w:pPr>
              <w:pStyle w:val="Compact"/>
              <w:jc w:val="center"/>
            </w:pPr>
            <w:bookmarkStart w:id="142" w:name="fig-itemrestscore10"/>
            <w:r>
              <w:drawing>
                <wp:inline>
                  <wp:extent cx="5943600" cy="4574010"/>
                  <wp:effectExtent b="0" l="0" r="0" t="0"/>
                  <wp:docPr descr="" title="" id="140" name="Picture"/>
                  <a:graphic>
                    <a:graphicData uri="http://schemas.openxmlformats.org/drawingml/2006/picture">
                      <pic:pic>
                        <pic:nvPicPr>
                          <pic:cNvPr descr="index_files/figure-docx/fig-itemrestscore10-1.png" id="141" name="Picture"/>
                          <pic:cNvPicPr>
                            <a:picLocks noChangeArrowheads="1" noChangeAspect="1"/>
                          </pic:cNvPicPr>
                        </pic:nvPicPr>
                        <pic:blipFill>
                          <a:blip r:embed="rId139"/>
                          <a:stretch>
                            <a:fillRect/>
                          </a:stretch>
                        </pic:blipFill>
                        <pic:spPr bwMode="auto">
                          <a:xfrm>
                            <a:off x="0" y="0"/>
                            <a:ext cx="5943600" cy="4574010"/>
                          </a:xfrm>
                          <a:prstGeom prst="rect">
                            <a:avLst/>
                          </a:prstGeom>
                          <a:noFill/>
                          <a:ln w="9525">
                            <a:noFill/>
                            <a:headEnd/>
                            <a:tailEnd/>
                          </a:ln>
                        </pic:spPr>
                      </pic:pic>
                    </a:graphicData>
                  </a:graphic>
                </wp:inline>
              </w:drawing>
            </w:r>
            <w:bookmarkEnd w:id="142"/>
          </w:p>
          <w:bookmarkEnd w:id="14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44"/>
    <w:p>
      <w:pPr>
        <w:pStyle w:val="BodyText"/>
      </w:pPr>
      <w:r>
        <w:t xml:space="preserve">Compared to when we had 20 items, … create a summary table! And run more simulations tonight.</w:t>
      </w:r>
    </w:p>
    <w:bookmarkEnd w:id="145"/>
    <w:bookmarkEnd w:id="146"/>
    <w:bookmarkStart w:id="148" w:name="discussion"/>
    <w:p>
      <w:pPr>
        <w:pStyle w:val="Heading1"/>
      </w:pPr>
      <w:r>
        <w:t xml:space="preserve">8. Discussion</w:t>
      </w:r>
    </w:p>
    <w:bookmarkStart w:id="147" w:name="limitations"/>
    <w:p>
      <w:pPr>
        <w:pStyle w:val="Heading2"/>
      </w:pPr>
      <w:r>
        <w:t xml:space="preserve">8.1 Limitations</w:t>
      </w:r>
    </w:p>
    <w:p>
      <w:pPr>
        <w:pStyle w:val="FirstParagraph"/>
      </w:pPr>
      <w:r>
        <w:t xml:space="preserve">Number of items could be varied more. However, the results from Müller</w:t>
      </w:r>
      <w:r>
        <w:t xml:space="preserve"> </w:t>
      </w:r>
      <w:r>
        <w:t xml:space="preserve">(2020)</w:t>
      </w:r>
      <w:r>
        <w:t xml:space="preserve">, which use 10, 15, and 20 items, indicates small differences in critical value ranges. But this might not have implications for detection rate of misfitting items (we need the 40 items simulation and maybe 10 also?). Partial credit model for polytomous data would have been nice to also test. Although results regarding detection rate should generalize from RM to PCM, maybe the sample size in relation to number of items does not easily translate from the dichotomous case?</w:t>
      </w:r>
    </w:p>
    <w:bookmarkEnd w:id="147"/>
    <w:bookmarkEnd w:id="148"/>
    <w:bookmarkStart w:id="155" w:name="conclusion"/>
    <w:p>
      <w:pPr>
        <w:pStyle w:val="Heading1"/>
      </w:pPr>
      <w:r>
        <w:t xml:space="preserve">9. Conclusion</w:t>
      </w:r>
    </w:p>
    <w:p>
      <w:pPr>
        <w:pStyle w:val="FirstParagraph"/>
      </w:pPr>
      <w:r>
        <w:t xml:space="preserve">These findings make a good argument for removing one item at a time when the analysis indicates misfitting items, starting with the most underfitting item. This is especially relevant for</w:t>
      </w:r>
      <w:r>
        <w:t xml:space="preserve"> </w:t>
      </w:r>
      <w:r>
        <w:rPr>
          <w:i/>
          <w:iCs/>
        </w:rPr>
        <w:t xml:space="preserve">n</w:t>
      </w:r>
      <w:r>
        <w:t xml:space="preserve"> </w:t>
      </w:r>
      <w:r>
        <w:t xml:space="preserve">&gt;= 500 and when misfitting items are located close to the sample mean.</w:t>
      </w:r>
    </w:p>
    <w:bookmarkStart w:id="154" w:name="cell-fig-loadloc"/>
    <w:tbl>
      <w:tblPr>
        <w:tblStyle w:val="Table"/>
        <w:tblW w:type="pct" w:w="5000"/>
        <w:tblLayout w:type="fixed"/>
        <w:tblLook w:firstRow="0" w:lastRow="0" w:firstColumn="0" w:lastColumn="0" w:noHBand="0" w:noVBand="0" w:val="0000"/>
      </w:tblPr>
      <w:tblGrid>
        <w:gridCol w:w="7920"/>
      </w:tblGrid>
      <w:tr>
        <w:tc>
          <w:tcPr/>
          <w:bookmarkStart w:id="153" w:name="fig-loadloc"/>
          <w:p>
            <w:pPr>
              <w:jc w:val="center"/>
            </w:pPr>
            <w:pPr>
              <w:jc w:val="start"/>
              <w:spacing w:before="200"/>
              <w:pStyle w:val="ImageCaption"/>
            </w:pPr>
            <w:r>
              <w:t xml:space="preserve">Figure 17</w:t>
            </w:r>
          </w:p>
          <w:p>
            <w:pPr>
              <w:pStyle w:val="Compact"/>
              <w:jc w:val="center"/>
            </w:pPr>
            <w:bookmarkStart w:id="152" w:name="fig-loadloc"/>
            <w:r>
              <w:drawing>
                <wp:inline>
                  <wp:extent cx="5943600" cy="4574010"/>
                  <wp:effectExtent b="0" l="0" r="0" t="0"/>
                  <wp:docPr descr="" title="" id="150" name="Picture"/>
                  <a:graphic>
                    <a:graphicData uri="http://schemas.openxmlformats.org/drawingml/2006/picture">
                      <pic:pic>
                        <pic:nvPicPr>
                          <pic:cNvPr descr="index_files/figure-docx/fig-loadloc-1.png" id="151" name="Picture"/>
                          <pic:cNvPicPr>
                            <a:picLocks noChangeArrowheads="1" noChangeAspect="1"/>
                          </pic:cNvPicPr>
                        </pic:nvPicPr>
                        <pic:blipFill>
                          <a:blip r:embed="rId149"/>
                          <a:stretch>
                            <a:fillRect/>
                          </a:stretch>
                        </pic:blipFill>
                        <pic:spPr bwMode="auto">
                          <a:xfrm>
                            <a:off x="0" y="0"/>
                            <a:ext cx="5943600" cy="4574010"/>
                          </a:xfrm>
                          <a:prstGeom prst="rect">
                            <a:avLst/>
                          </a:prstGeom>
                          <a:noFill/>
                          <a:ln w="9525">
                            <a:noFill/>
                            <a:headEnd/>
                            <a:tailEnd/>
                          </a:ln>
                        </pic:spPr>
                      </pic:pic>
                    </a:graphicData>
                  </a:graphic>
                </wp:inline>
              </w:drawing>
            </w:r>
            <w:bookmarkEnd w:id="152"/>
          </w:p>
          <w:bookmarkEnd w:id="153"/>
        </w:tc>
      </w:tr>
    </w:tbl>
    <w:p>
      <w:pPr>
        <w:pStyle w:val="BodyText"/>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54"/>
    <w:p>
      <w:pPr>
        <w:pStyle w:val="BodyText"/>
      </w:pPr>
      <w:r>
        <w:t xml:space="preserve">Assessing item fit and dimensionality should be done using multiple methods. Item fit and item-restscore should be used in parallel, while also examining residual patterns by reviewing standardized factor loadings on the first residual contrast (see</w:t>
      </w:r>
      <w:r>
        <w:t xml:space="preserve"> </w:t>
      </w:r>
      <w:hyperlink w:anchor="fig-loadloc">
        <w:r>
          <w:rPr>
            <w:rStyle w:val="Hyperlink"/>
          </w:rPr>
          <w:t xml:space="preserve">Figure 17</w:t>
        </w:r>
      </w:hyperlink>
      <w:r>
        <w:t xml:space="preserve"> </w:t>
      </w:r>
      <w:r>
        <w:t xml:space="preserve">for an example) as well as Yen’s Q3 residual correlations.</w:t>
      </w:r>
    </w:p>
    <w:p>
      <w:pPr>
        <w:pStyle w:val="BodyText"/>
      </w:pPr>
      <w:r>
        <w:t xml:space="preserve">While the simulations in this paper have used dichotomous data, all functions evaluated in this paper also work with polytomous data using the Rasch Partial Credit Model.</w:t>
      </w:r>
    </w:p>
    <w:bookmarkEnd w:id="155"/>
    <w:bookmarkStart w:id="177" w:name="references"/>
    <w:p>
      <w:pPr>
        <w:pStyle w:val="Heading1"/>
      </w:pPr>
      <w:r>
        <w:t xml:space="preserve">References</w:t>
      </w:r>
    </w:p>
    <w:bookmarkStart w:id="176" w:name="refs"/>
    <w:bookmarkStart w:id="157"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56">
        <w:r>
          <w:rPr>
            <w:rStyle w:val="Hyperlink"/>
          </w:rPr>
          <w:t xml:space="preserve">https://doi.org/10.1111/j.2517-6161.1995.tb02031.x</w:t>
        </w:r>
      </w:hyperlink>
    </w:p>
    <w:bookmarkEnd w:id="157"/>
    <w:bookmarkStart w:id="159"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58">
        <w:r>
          <w:rPr>
            <w:rStyle w:val="Hyperlink"/>
          </w:rPr>
          <w:t xml:space="preserve">https://doi.org/10.2307/2281536</w:t>
        </w:r>
      </w:hyperlink>
    </w:p>
    <w:bookmarkEnd w:id="159"/>
    <w:bookmarkStart w:id="161" w:name="ref-easyrasch"/>
    <w:p>
      <w:pPr>
        <w:pStyle w:val="Bibliography"/>
      </w:pPr>
      <w:r>
        <w:t xml:space="preserve">Johansson, M. (2024).</w:t>
      </w:r>
      <w:r>
        <w:t xml:space="preserve"> </w:t>
      </w:r>
      <w:r>
        <w:rPr>
          <w:i/>
          <w:iCs/>
        </w:rPr>
        <w:t xml:space="preserve">easyRasch: Psychometric analysis in r with rasch measurement theory</w:t>
      </w:r>
      <w:r>
        <w:t xml:space="preserve">.</w:t>
      </w:r>
      <w:r>
        <w:t xml:space="preserve"> </w:t>
      </w:r>
      <w:hyperlink r:id="rId160">
        <w:r>
          <w:rPr>
            <w:rStyle w:val="Hyperlink"/>
          </w:rPr>
          <w:t xml:space="preserve">https://github.com/pgmj/easyRasch</w:t>
        </w:r>
      </w:hyperlink>
    </w:p>
    <w:bookmarkEnd w:id="161"/>
    <w:bookmarkStart w:id="163"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62">
        <w:r>
          <w:rPr>
            <w:rStyle w:val="Hyperlink"/>
          </w:rPr>
          <w:t xml:space="preserve">https://doi.org/10.1177/0146621611410227</w:t>
        </w:r>
      </w:hyperlink>
    </w:p>
    <w:bookmarkEnd w:id="163"/>
    <w:bookmarkStart w:id="165"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64">
        <w:r>
          <w:rPr>
            <w:rStyle w:val="Hyperlink"/>
          </w:rPr>
          <w:t xml:space="preserve">https://doi.org/10.18637/jss.v020.i09</w:t>
        </w:r>
      </w:hyperlink>
    </w:p>
    <w:bookmarkEnd w:id="165"/>
    <w:bookmarkStart w:id="167"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166">
        <w:r>
          <w:rPr>
            <w:rStyle w:val="Hyperlink"/>
          </w:rPr>
          <w:t xml:space="preserve">https://cran.r-project.org/web/packages/iarm/index.html</w:t>
        </w:r>
      </w:hyperlink>
    </w:p>
    <w:bookmarkEnd w:id="167"/>
    <w:bookmarkStart w:id="169"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168">
        <w:r>
          <w:rPr>
            <w:rStyle w:val="Hyperlink"/>
          </w:rPr>
          <w:t xml:space="preserve">https://doi.org/10.1186/s40488-020-00108-7</w:t>
        </w:r>
      </w:hyperlink>
    </w:p>
    <w:bookmarkEnd w:id="169"/>
    <w:bookmarkStart w:id="171"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170">
        <w:r>
          <w:rPr>
            <w:rStyle w:val="Hyperlink"/>
          </w:rPr>
          <w:t xml:space="preserve">https://doi.org/10.4135/9781412985413</w:t>
        </w:r>
      </w:hyperlink>
    </w:p>
    <w:bookmarkEnd w:id="171"/>
    <w:bookmarkStart w:id="173" w:name="ref-smith_using_1998"/>
    <w:p>
      <w:pPr>
        <w:pStyle w:val="Bibliography"/>
      </w:pPr>
      <w:r>
        <w:t xml:space="preserve">Smith, R. M., Schumacker, R. E., &amp; Bush, M. J. (1998).</w:t>
      </w:r>
      <w:r>
        <w:t xml:space="preserve"> </w:t>
      </w:r>
      <w:hyperlink r:id="rId172">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173"/>
    <w:bookmarkStart w:id="175"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174">
        <w:r>
          <w:rPr>
            <w:rStyle w:val="Hyperlink"/>
          </w:rPr>
          <w:t xml:space="preserve">https://doi.org/10.1007/BF02294627</w:t>
        </w:r>
      </w:hyperlink>
    </w:p>
    <w:bookmarkEnd w:id="175"/>
    <w:bookmarkEnd w:id="176"/>
    <w:bookmarkEnd w:id="177"/>
    <w:bookmarkStart w:id="181" w:name="sec-addmat"/>
    <w:p>
      <w:pPr>
        <w:pStyle w:val="Heading1"/>
      </w:pPr>
      <w:r>
        <w:t xml:space="preserve">10. Additional materials</w:t>
      </w:r>
    </w:p>
    <w:p>
      <w:pPr>
        <w:pStyle w:val="Compact"/>
        <w:numPr>
          <w:ilvl w:val="0"/>
          <w:numId w:val="1002"/>
        </w:numPr>
      </w:pPr>
      <w:r>
        <w:t xml:space="preserve">GitHub link for</w:t>
      </w:r>
      <w:r>
        <w:t xml:space="preserve"> </w:t>
      </w:r>
      <w:r>
        <w:rPr>
          <w:rStyle w:val="VerbatimChar"/>
        </w:rPr>
        <w:t xml:space="preserve">easyRasch</w:t>
      </w:r>
      <w:r>
        <w:t xml:space="preserve"> </w:t>
      </w:r>
      <w:r>
        <w:t xml:space="preserve">source code:</w:t>
      </w:r>
      <w:r>
        <w:t xml:space="preserve"> </w:t>
      </w:r>
      <w:hyperlink r:id="rId178">
        <w:r>
          <w:rPr>
            <w:rStyle w:val="Hyperlink"/>
          </w:rPr>
          <w:t xml:space="preserve">https://github.com/pgmj/easyRasch/</w:t>
        </w:r>
      </w:hyperlink>
    </w:p>
    <w:p>
      <w:pPr>
        <w:pStyle w:val="Compact"/>
        <w:numPr>
          <w:ilvl w:val="1"/>
          <w:numId w:val="1003"/>
        </w:numPr>
      </w:pPr>
      <w:r>
        <w:t xml:space="preserve">Most functions are defined in this file:</w:t>
      </w:r>
      <w:r>
        <w:t xml:space="preserve"> </w:t>
      </w:r>
      <w:hyperlink r:id="rId179">
        <w:r>
          <w:rPr>
            <w:rStyle w:val="Hyperlink"/>
          </w:rPr>
          <w:t xml:space="preserve">https://github.com/pgmj/easyRasch/blob/main/R/easyRasch.R</w:t>
        </w:r>
      </w:hyperlink>
    </w:p>
    <w:bookmarkStart w:id="180" w:name="session-info"/>
    <w:p>
      <w:pPr>
        <w:pStyle w:val="Heading2"/>
      </w:pPr>
      <w:r>
        <w:t xml:space="preserve">10.1 Session info</w:t>
      </w:r>
    </w:p>
    <w:p>
      <w:pPr>
        <w:pStyle w:val="FirstParagraph"/>
      </w:pPr>
      <w:r>
        <w:t xml:space="preserve">This documents the specific R packages and versions used in this study.</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sv_SE.UTF-8/sv_SE.UTF-8/sv_SE.UTF-8/C/sv_SE.UTF-8/sv_SE.UTF-8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1">
        <w:r>
          <w:rPr>
            <w:rStyle w:val="Hyperlink"/>
            <w:vertAlign w:val="subscript"/>
          </w:rPr>
          <w:t xml:space="preserve">Article Notebook</w:t>
        </w:r>
      </w:hyperlink>
    </w:p>
    <w:bookmarkEnd w:id="180"/>
    <w:bookmarkEnd w:id="181"/>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5" Target="media/rId55.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126" Target="media/rId126.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25" Target="media/rId25.png" /><Relationship Type="http://schemas.openxmlformats.org/officeDocument/2006/relationships/image" Id="rId71" Target="media/rId71.png" /><Relationship Type="http://schemas.openxmlformats.org/officeDocument/2006/relationships/image" Id="rId139" Target="media/rId139.png" /><Relationship Type="http://schemas.openxmlformats.org/officeDocument/2006/relationships/image" Id="rId91" Target="media/rId91.png" /><Relationship Type="http://schemas.openxmlformats.org/officeDocument/2006/relationships/image" Id="rId132" Target="media/rId132.png" /><Relationship Type="http://schemas.openxmlformats.org/officeDocument/2006/relationships/image" Id="rId149" Target="media/rId149.png" /><Relationship Type="http://schemas.openxmlformats.org/officeDocument/2006/relationships/hyperlink" Id="rId166" Target="https://cran.r-project.org/web/packages/iarm/index.html" TargetMode="External" /><Relationship Type="http://schemas.openxmlformats.org/officeDocument/2006/relationships/hyperlink" Id="rId174" Target="https://doi.org/10.1007/BF02294627" TargetMode="External" /><Relationship Type="http://schemas.openxmlformats.org/officeDocument/2006/relationships/hyperlink" Id="rId156" Target="https://doi.org/10.1111/j.2517-6161.1995.tb02031.x" TargetMode="External" /><Relationship Type="http://schemas.openxmlformats.org/officeDocument/2006/relationships/hyperlink" Id="rId162" Target="https://doi.org/10.1177/0146621611410227" TargetMode="External" /><Relationship Type="http://schemas.openxmlformats.org/officeDocument/2006/relationships/hyperlink" Id="rId168" Target="https://doi.org/10.1186/s40488-020-00108-7" TargetMode="External" /><Relationship Type="http://schemas.openxmlformats.org/officeDocument/2006/relationships/hyperlink" Id="rId164" Target="https://doi.org/10.18637/jss.v020.i09" TargetMode="External" /><Relationship Type="http://schemas.openxmlformats.org/officeDocument/2006/relationships/hyperlink" Id="rId158" Target="https://doi.org/10.2307/2281536" TargetMode="External" /><Relationship Type="http://schemas.openxmlformats.org/officeDocument/2006/relationships/hyperlink" Id="rId170" Target="https://doi.org/10.4135/9781412985413" TargetMode="External" /><Relationship Type="http://schemas.openxmlformats.org/officeDocument/2006/relationships/hyperlink" Id="rId160" Target="https://github.com/pgmj/easyRasch" TargetMode="External" /><Relationship Type="http://schemas.openxmlformats.org/officeDocument/2006/relationships/hyperlink" Id="rId178" Target="https://github.com/pgmj/easyRasch/" TargetMode="External" /><Relationship Type="http://schemas.openxmlformats.org/officeDocument/2006/relationships/hyperlink" Id="rId179"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72"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166" Target="https://cran.r-project.org/web/packages/iarm/index.html" TargetMode="External" /><Relationship Type="http://schemas.openxmlformats.org/officeDocument/2006/relationships/hyperlink" Id="rId174" Target="https://doi.org/10.1007/BF02294627" TargetMode="External" /><Relationship Type="http://schemas.openxmlformats.org/officeDocument/2006/relationships/hyperlink" Id="rId156" Target="https://doi.org/10.1111/j.2517-6161.1995.tb02031.x" TargetMode="External" /><Relationship Type="http://schemas.openxmlformats.org/officeDocument/2006/relationships/hyperlink" Id="rId162" Target="https://doi.org/10.1177/0146621611410227" TargetMode="External" /><Relationship Type="http://schemas.openxmlformats.org/officeDocument/2006/relationships/hyperlink" Id="rId168" Target="https://doi.org/10.1186/s40488-020-00108-7" TargetMode="External" /><Relationship Type="http://schemas.openxmlformats.org/officeDocument/2006/relationships/hyperlink" Id="rId164" Target="https://doi.org/10.18637/jss.v020.i09" TargetMode="External" /><Relationship Type="http://schemas.openxmlformats.org/officeDocument/2006/relationships/hyperlink" Id="rId158" Target="https://doi.org/10.2307/2281536" TargetMode="External" /><Relationship Type="http://schemas.openxmlformats.org/officeDocument/2006/relationships/hyperlink" Id="rId170" Target="https://doi.org/10.4135/9781412985413" TargetMode="External" /><Relationship Type="http://schemas.openxmlformats.org/officeDocument/2006/relationships/hyperlink" Id="rId160" Target="https://github.com/pgmj/easyRasch" TargetMode="External" /><Relationship Type="http://schemas.openxmlformats.org/officeDocument/2006/relationships/hyperlink" Id="rId178" Target="https://github.com/pgmj/easyRasch/" TargetMode="External" /><Relationship Type="http://schemas.openxmlformats.org/officeDocument/2006/relationships/hyperlink" Id="rId179"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21" Target="https://pgmj.github.io/rasch_itemfit/index.qmd.html" TargetMode="External" /><Relationship Type="http://schemas.openxmlformats.org/officeDocument/2006/relationships/hyperlink" Id="rId172"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Simulation</cp:keywords>
  <dcterms:created xsi:type="dcterms:W3CDTF">2025-01-04T15:43:01Z</dcterms:created>
  <dcterms:modified xsi:type="dcterms:W3CDTF">2025-01-04T15:43:01Z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execute">
    <vt:lpwstr/>
  </property>
  <property fmtid="{D5CDD505-2E9C-101B-9397-08002B2CF9AE}" pid="13" name="fig-cap-location">
    <vt:lpwstr>top</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ghtbox">
    <vt:lpwstr>auto</vt:lpwstr>
  </property>
  <property fmtid="{D5CDD505-2E9C-101B-9397-08002B2CF9AE}" pid="22" name="manuscript">
    <vt:lpwstr/>
  </property>
  <property fmtid="{D5CDD505-2E9C-101B-9397-08002B2CF9AE}" pid="23" name="notebook-preview-options">
    <vt:lpwstr/>
  </property>
  <property fmtid="{D5CDD505-2E9C-101B-9397-08002B2CF9AE}" pid="24" name="quarto-internal">
    <vt:lpwstr/>
  </property>
  <property fmtid="{D5CDD505-2E9C-101B-9397-08002B2CF9AE}" pid="25" name="remove-hidden">
    <vt:lpwstr>all</vt:lpwstr>
  </property>
  <property fmtid="{D5CDD505-2E9C-101B-9397-08002B2CF9AE}" pid="26" name="repo-url">
    <vt:lpwstr>https://github.com/pgmj/rasch_itemfit</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