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discard if still running (Cillian’s Glue pattern)</w:t>
            </w:r>
          </w:p>
        </w:tc>
        <w:tc>
          <w:tcPr/>
          <w:p>
            <w:pPr>
              <w:pStyle w:val="Compact"/>
              <w:jc w:val="left"/>
            </w:pPr>
            <w:r>
              <w:t xml:space="preserve">Jesse, 10/23</w:t>
            </w:r>
          </w:p>
        </w:tc>
        <w:tc>
          <w:tcPr/>
          <w:p>
            <w:pPr>
              <w:pStyle w:val="Compact"/>
              <w:jc w:val="left"/>
            </w:pPr>
            <w:r>
              <w:rPr>
                <w:rStyle w:val="VerbatimChar"/>
              </w:rPr>
              <w:t xml:space="preserve">CheckLock</w:t>
            </w:r>
            <w:r>
              <w:t xml:space="preserve"> </w:t>
            </w:r>
            <w:r>
              <w:t xml:space="preserve">state, 25-minute timeout</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7"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End w:id="27"/>
    <w:bookmarkStart w:id="29"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8"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8"/>
    <w:bookmarkEnd w:id="29"/>
    <w:bookmarkStart w:id="31"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lock pattern. Adopting it as a template is the team’s decision; the POC provides the evidence.</w:t>
            </w:r>
          </w:p>
        </w:tc>
      </w:tr>
    </w:tbl>
    <w:bookmarkStart w:id="30"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0"/>
    <w:bookmarkEnd w:id="31"/>
    <w:bookmarkStart w:id="32"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The largest hour finishes in Lambda in under 5 minutes. Phase 0 measures this first.</w:t>
            </w:r>
          </w:p>
        </w:tc>
        <w:tc>
          <w:tcPr/>
          <w:p>
            <w:pPr>
              <w:pStyle w:val="Compact"/>
              <w:jc w:val="left"/>
            </w:pPr>
            <w:r>
              <w:t xml:space="preserve">The same container image runs on Fargate. No redesign.</w:t>
            </w:r>
          </w:p>
        </w:tc>
      </w:tr>
      <w:tr>
        <w:tc>
          <w:tcPr/>
          <w:p>
            <w:pPr>
              <w:pStyle w:val="Compact"/>
              <w:jc w:val="left"/>
            </w:pPr>
            <w:r>
              <w:t xml:space="preserve">A2</w:t>
            </w:r>
          </w:p>
        </w:tc>
        <w:tc>
          <w:tcPr/>
          <w:p>
            <w:pPr>
              <w:pStyle w:val="Compact"/>
              <w:jc w:val="left"/>
            </w:pPr>
            <w:r>
              <w:t xml:space="preserve">Key spec D1-D12 holds (DTE-132, awaiting Jesse’s sign-off).</w:t>
            </w:r>
          </w:p>
        </w:tc>
        <w:tc>
          <w:tcPr/>
          <w:p>
            <w:pPr>
              <w:pStyle w:val="Compact"/>
              <w:jc w:val="left"/>
            </w:pPr>
            <w:r>
              <w:t xml:space="preserve">Rule changes are edits inside the transform.</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cross-account access (DTE-147) is granted.</w:t>
            </w:r>
          </w:p>
        </w:tc>
        <w:tc>
          <w:tcPr/>
          <w:p>
            <w:pPr>
              <w:pStyle w:val="Compact"/>
              <w:jc w:val="left"/>
            </w:pPr>
            <w:r>
              <w:t xml:space="preserve">A true end to end waits on DTE-147;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2"/>
    <w:bookmarkStart w:id="33"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or the Fargate route works.</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Jesse’s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3"/>
    <w:bookmarkStart w:id="34"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4"/>
    <w:bookmarkStart w:id="35"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Cillian’s lock pattern,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5"/>
    <w:bookmarkStart w:id="36"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Jesse’s review)</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6"/>
    <w:bookmarkStart w:id="37"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Six publisher files, or three? If three, what happens to Relevate Games and Office Ally?</w:t>
            </w:r>
          </w:p>
        </w:tc>
        <w:tc>
          <w:tcPr/>
          <w:p>
            <w:pPr>
              <w:pStyle w:val="Compact"/>
              <w:jc w:val="left"/>
            </w:pPr>
            <w:r>
              <w:t xml:space="preserve">Jesse</w:t>
            </w:r>
          </w:p>
        </w:tc>
      </w:tr>
      <w:tr>
        <w:tc>
          <w:tcPr/>
          <w:p>
            <w:pPr>
              <w:pStyle w:val="Compact"/>
              <w:jc w:val="left"/>
            </w:pPr>
            <w:r>
              <w:t xml:space="preserve">Age-based archive: how long does DSP data stay active? (sets the id-check window)</w:t>
            </w:r>
          </w:p>
        </w:tc>
        <w:tc>
          <w:tcPr/>
          <w:p>
            <w:pPr>
              <w:pStyle w:val="Compact"/>
              <w:jc w:val="left"/>
            </w:pPr>
            <w:r>
              <w:t xml:space="preserve">Jesse</w:t>
            </w:r>
          </w:p>
        </w:tc>
      </w:tr>
      <w:tr>
        <w:tc>
          <w:tcPr/>
          <w:p>
            <w:pPr>
              <w:pStyle w:val="Compact"/>
              <w:jc w:val="left"/>
            </w:pPr>
            <w:r>
              <w:t xml:space="preserve">How long does Redshift keep DSP history, and does it treat the key as unique?</w:t>
            </w:r>
          </w:p>
        </w:tc>
        <w:tc>
          <w:tcPr/>
          <w:p>
            <w:pPr>
              <w:pStyle w:val="Compact"/>
              <w:jc w:val="left"/>
            </w:pPr>
            <w:r>
              <w:t xml:space="preserve">Jesse</w:t>
            </w:r>
          </w:p>
        </w:tc>
      </w:tr>
      <w:tr>
        <w:tc>
          <w:tcPr/>
          <w:p>
            <w:pPr>
              <w:pStyle w:val="Compact"/>
              <w:jc w:val="left"/>
            </w:pPr>
            <w:r>
              <w:t xml:space="preserve">Id check scope (O1): quarantine only kept-publisher rows, checked against all rows?</w:t>
            </w:r>
          </w:p>
        </w:tc>
        <w:tc>
          <w:tcPr/>
          <w:p>
            <w:pPr>
              <w:pStyle w:val="Compact"/>
              <w:jc w:val="left"/>
            </w:pPr>
            <w:r>
              <w:t xml:space="preserve">Jesse,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Cillian</w:t>
            </w:r>
          </w:p>
        </w:tc>
      </w:tr>
      <w:tr>
        <w:tc>
          <w:tcPr/>
          <w:p>
            <w:pPr>
              <w:pStyle w:val="Compact"/>
              <w:jc w:val="left"/>
            </w:pPr>
            <w:r>
              <w:t xml:space="preserve">Whole-file reject threshold (Scott floated ~0.5%)</w:t>
            </w:r>
          </w:p>
        </w:tc>
        <w:tc>
          <w:tcPr/>
          <w:p>
            <w:pPr>
              <w:pStyle w:val="Compact"/>
              <w:jc w:val="left"/>
            </w:pPr>
            <w:r>
              <w:t xml:space="preserve">Jesse</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w:t>
            </w:r>
          </w:p>
        </w:tc>
      </w:tr>
      <w:tr>
        <w:tc>
          <w:tcPr/>
          <w:p>
            <w:pPr>
              <w:pStyle w:val="Compact"/>
              <w:jc w:val="left"/>
            </w:pPr>
            <w:r>
              <w:t xml:space="preserve">Cross-account read on the source bucket (DTE-147)</w:t>
            </w:r>
          </w:p>
        </w:tc>
        <w:tc>
          <w:tcPr/>
          <w:p>
            <w:pPr>
              <w:pStyle w:val="Compact"/>
              <w:jc w:val="left"/>
            </w:pPr>
            <w:r>
              <w:t xml:space="preserve">Jesse</w:t>
            </w:r>
          </w:p>
        </w:tc>
      </w:tr>
    </w:tbl>
    <w:bookmarkEnd w:id="37"/>
    <w:bookmarkStart w:id="38"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8"/>
    <w:bookmarkStart w:id="39" w:name="appendix-sources"/>
    <w:p>
      <w:pPr>
        <w:pStyle w:val="Heading2"/>
      </w:pPr>
      <w:r>
        <w:t xml:space="preserve">Appendix: sources</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39"/>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2026-10-28T15:08:54Z</dcterms:created>
  <dcterms:modified xsi:type="dcterms:W3CDTF">2026-10-28T15:08:54Z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