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Experimental Design (E1-E7)</w:t>
      </w:r>
    </w:p>
    <w:p>
      <w:pPr>
        <w:pStyle w:val="Heading2"/>
      </w:pPr>
      <w:r>
        <w:t xml:space="preserve">Decision taken on the risk-deadline correlation question</w:t>
      </w:r>
    </w:p>
    <w:p>
      <w:pPr/>
      <w:r>
        <w:t xml:space="preserve">The prototype's synthetic sweep showed RUSA-NIDS converging to Resource-Aware once worker count scales past the capacity-constrained regime, because the synthetic generator does not correlate flow risk with deadline tightness. Rather than engineering that correlation into the real E1-E7 battery (which would invite a reviewer to ask whether the result was assumed rather than observed), </w:t>
      </w:r>
      <w:r>
        <w:rPr>
          <w:b/>
        </w:rPr>
        <w:t xml:space="preserve">we measure the correlation as it exists in CICIDS2017/CSE-CIC-IDS2018 and report it directly</w:t>
      </w:r>
      <w:r>
        <w:t xml:space="preserve">: if attack flows in the real traffic are not systematically more time-sensitive than benign flows, that is itself reported as a scope-limiting finding for RUSA-NIDS's risk term (</w:t>
      </w:r>
      <w:r>
        <w:rPr>
          <w:rStyle w:val="CodeChar"/>
        </w:rPr>
        <w:t xml:space="preserve">gamma</w:t>
      </w:r>
      <w:r>
        <w:t xml:space="preserve">, </w:t>
      </w:r>
      <w:r>
        <w:rPr>
          <w:rStyle w:val="CodeChar"/>
        </w:rPr>
        <w:t xml:space="preserve">eta</w:t>
      </w:r>
      <w:r>
        <w:t xml:space="preserve">), not concealed by a hand-assigned deadline policy. This is the more defensible claim for a Q1 venue and the one the Discussion section should lead with if it holds.</w:t>
      </w:r>
    </w:p>
    <w:p>
      <w:pPr>
        <w:pStyle w:val="Heading2"/>
      </w:pPr>
      <w:r>
        <w:t xml:space="preserve">E1 -- Worker-count scaling</w:t>
      </w:r>
    </w:p>
    <w:p>
      <w:pPr/>
      <w:r>
        <w:rPr>
          <w:b/>
        </w:rPr>
        <w:t xml:space="preserve">Setup:</w:t>
      </w:r>
      <w:r>
        <w:t xml:space="preserve"> fixed flow arrival trace (real CICIDS2017 flows replayed through </w:t>
      </w:r>
      <w:r>
        <w:rPr>
          <w:rStyle w:val="CodeChar"/>
        </w:rPr>
        <w:t xml:space="preserve">ClusterState.submit</w:t>
      </w:r>
      <w:r>
        <w:t xml:space="preserve">), worker count swept across {1, 2, 4, 8, 16}, all five policies run on the identical trace per worker count (shared seed). </w:t>
      </w:r>
      <w:r>
        <w:rPr>
          <w:b/>
        </w:rPr>
        <w:t xml:space="preserve">Metrics:</w:t>
      </w:r>
      <w:r>
        <w:t xml:space="preserve"> completed-flow count, dropped-deadline count, dropped-queue-full count, p50/p95/p99 latency, throughput. </w:t>
      </w:r>
      <w:r>
        <w:rPr>
          <w:b/>
        </w:rPr>
        <w:t xml:space="preserve">Expected shape (from the synthetic prototype run):</w:t>
      </w:r>
      <w:r>
        <w:t xml:space="preserve"> RUSA-NIDS's margin over Resource-Aware should be largest in the capacity-constrained regime (1-4 workers) and should narrow as workers scale past saturation -- reported as the expected pattern, re-verified rather than assumed on real data.</w:t>
      </w:r>
    </w:p>
    <w:p>
      <w:pPr>
        <w:pStyle w:val="Heading2"/>
      </w:pPr>
      <w:r>
        <w:t xml:space="preserve">E2 -- Input intensity</w:t>
      </w:r>
    </w:p>
    <w:p>
      <w:pPr/>
      <w:r>
        <w:rPr>
          <w:b/>
        </w:rPr>
        <w:t xml:space="preserve">Setup:</w:t>
      </w:r>
      <w:r>
        <w:t xml:space="preserve"> fixed worker count (chosen at the knee of the E1 curve), flow arrival rate swept to sweep utilization from under-saturated to over-saturated. </w:t>
      </w:r>
      <w:r>
        <w:rPr>
          <w:b/>
        </w:rPr>
        <w:t xml:space="preserve">Metrics:</w:t>
      </w:r>
      <w:r>
        <w:t xml:space="preserve"> same as E1, plus per-policy degradation slope as utilization crosses 100%. </w:t>
      </w:r>
      <w:r>
        <w:rPr>
          <w:b/>
        </w:rPr>
        <w:t xml:space="preserve">Purpose:</w:t>
      </w:r>
      <w:r>
        <w:t xml:space="preserve"> isolates whether RUSA-NIDS's advantage is a capacity-regime effect (as E1 suggests) or persists at fixed capacity under rising load -- these are different claims and the paper should not conflate them.</w:t>
      </w:r>
    </w:p>
    <w:p>
      <w:pPr>
        <w:pStyle w:val="Heading2"/>
      </w:pPr>
      <w:r>
        <w:t xml:space="preserve">E4 -- Load balance across workers</w:t>
      </w:r>
    </w:p>
    <w:p>
      <w:pPr/>
      <w:r>
        <w:rPr>
          <w:b/>
        </w:rPr>
        <w:t xml:space="preserve">Setup:</w:t>
      </w:r>
      <w:r>
        <w:t xml:space="preserve"> heterogeneous worker pool (varied </w:t>
      </w:r>
      <w:r>
        <w:rPr>
          <w:rStyle w:val="CodeChar"/>
        </w:rPr>
        <w:t xml:space="preserve">cap_j</w:t>
      </w:r>
      <w:r>
        <w:t xml:space="preserve">, </w:t>
      </w:r>
      <w:r>
        <w:rPr>
          <w:rStyle w:val="CodeChar"/>
        </w:rPr>
        <w:t xml:space="preserve">cpu_available</w:t>
      </w:r>
      <w:r>
        <w:t xml:space="preserve">, </w:t>
      </w:r>
      <w:r>
        <w:rPr>
          <w:rStyle w:val="CodeChar"/>
        </w:rPr>
        <w:t xml:space="preserve">mem_available</w:t>
      </w:r>
      <w:r>
        <w:t xml:space="preserve">, matching the prototype's </w:t>
      </w:r>
      <w:r>
        <w:rPr>
          <w:rStyle w:val="CodeChar"/>
        </w:rPr>
        <w:t xml:space="preserve">make_worker_pool</w:t>
      </w:r>
      <w:r>
        <w:t xml:space="preserve">), fixed moderate load. </w:t>
      </w:r>
      <w:r>
        <w:rPr>
          <w:b/>
        </w:rPr>
        <w:t xml:space="preserve">Metrics:</w:t>
      </w:r>
      <w:r>
        <w:t xml:space="preserve"> per-worker completed-flow count (coefficient of variation across workers), to quantify whether RUSA-NIDS's resource-pressure term produces materially better load balance than Least Loaded, which balances on queue depth alone and ignores heterogeneous per-worker capacity.</w:t>
      </w:r>
    </w:p>
    <w:p>
      <w:pPr>
        <w:pStyle w:val="Heading2"/>
      </w:pPr>
      <w:r>
        <w:t xml:space="preserve">E5 -- Fault injection</w:t>
      </w:r>
    </w:p>
    <w:p>
      <w:pPr/>
      <w:r>
        <w:rPr>
          <w:b/>
        </w:rPr>
        <w:t xml:space="preserve">Setup:</w:t>
      </w:r>
      <w:r>
        <w:t xml:space="preserve"> mid-run </w:t>
      </w:r>
      <w:r>
        <w:rPr>
          <w:rStyle w:val="CodeChar"/>
        </w:rPr>
        <w:t xml:space="preserve">mark_worker_down()</w:t>
      </w:r>
      <w:r>
        <w:t xml:space="preserve"> on a worker carrying in-flight flows, at a fixed point in the trace (</w:t>
      </w:r>
      <w:r>
        <w:rPr>
          <w:rStyle w:val="CodeChar"/>
        </w:rPr>
        <w:t xml:space="preserve">worker_fault_at_flow</w:t>
      </w:r>
      <w:r>
        <w:t xml:space="preserve">), repeated across multiple fault timings and the fault either on a lightly- or heavily-loaded worker. </w:t>
      </w:r>
      <w:r>
        <w:rPr>
          <w:b/>
        </w:rPr>
        <w:t xml:space="preserve">Metrics:</w:t>
      </w:r>
      <w:r>
        <w:t xml:space="preserve"> flows lost vs. flows successfully requeued and completed, added latency for requeued flows vs. a no-fault control run, recovery time (time until post-fault throughput returns to steady state). </w:t>
      </w:r>
      <w:r>
        <w:rPr>
          <w:b/>
        </w:rPr>
        <w:t xml:space="preserve">Correctness precondition:</w:t>
      </w:r>
      <w:r>
        <w:t xml:space="preserve"> already covered by </w:t>
      </w:r>
      <w:r>
        <w:rPr>
          <w:rStyle w:val="CodeChar"/>
        </w:rPr>
        <w:t xml:space="preserve">test_worker_failure_requeues_in_flight_flows_not_drops_them</w:t>
      </w:r>
      <w:r>
        <w:t xml:space="preserve">; E5 measures </w:t>
      </w:r>
      <w:r>
        <w:rPr>
          <w:i/>
        </w:rPr>
        <w:t xml:space="preserve">performance</w:t>
      </w:r>
      <w:r>
        <w:t xml:space="preserve"> impact, not correctness, which is established separately.</w:t>
      </w:r>
    </w:p>
    <w:p>
      <w:pPr>
        <w:pStyle w:val="Heading2"/>
      </w:pPr>
      <w:r>
        <w:t xml:space="preserve">E6 -- Ablation</w:t>
      </w:r>
    </w:p>
    <w:p>
      <w:pPr/>
      <w:r>
        <w:rPr>
          <w:b/>
        </w:rPr>
        <w:t xml:space="preserve">Setup:</w:t>
      </w:r>
      <w:r>
        <w:t xml:space="preserve"> Resource-Aware (</w:t>
      </w:r>
      <w:r>
        <w:rPr>
          <w:rStyle w:val="CodeChar"/>
        </w:rPr>
        <w:t xml:space="preserve">gamma=eta=0</w:t>
      </w:r>
      <w:r>
        <w:t xml:space="preserve">) and Risk-Priority (scalar risk weight, no </w:t>
      </w:r>
      <w:r>
        <w:rPr>
          <w:rStyle w:val="CodeChar"/>
        </w:rPr>
        <w:t xml:space="preserve">u_i</w:t>
      </w:r>
      <w:r>
        <w:t xml:space="preserve">/urgency coupling) are </w:t>
      </w:r>
      <w:r>
        <w:rPr>
          <w:i/>
        </w:rPr>
        <w:t xml:space="preserve">already</w:t>
      </w:r>
      <w:r>
        <w:t xml:space="preserve"> implemented as independent baselines rather than RUSA-NIDS with terms zeroed post hoc -- this is the honest-ablation point raised in the earlier review and should be stated explicitly in the paper so a reviewer does not need to ask. </w:t>
      </w:r>
      <w:r>
        <w:rPr>
          <w:b/>
        </w:rPr>
        <w:t xml:space="preserve">Metrics:</w:t>
      </w:r>
      <w:r>
        <w:t xml:space="preserve"> same as E1/E2, decomposed by whether the risk-deadline correlation (see decision above) holds in the real data; if it does not hold, E6 should report that </w:t>
      </w:r>
      <w:r>
        <w:rPr>
          <w:rStyle w:val="CodeChar"/>
        </w:rPr>
        <w:t xml:space="preserve">gamma</w:t>
      </w:r>
      <w:r>
        <w:t xml:space="preserve">/</w:t>
      </w:r>
      <w:r>
        <w:rPr>
          <w:rStyle w:val="CodeChar"/>
        </w:rPr>
        <w:t xml:space="preserve">eta</w:t>
      </w:r>
      <w:r>
        <w:t xml:space="preserve"> contribute negligible benefit </w:t>
      </w:r>
      <w:r>
        <w:rPr>
          <w:i/>
        </w:rPr>
        <w:t xml:space="preserve">under the tested traffic</w:t>
      </w:r>
      <w:r>
        <w:t xml:space="preserve">, as a bounded and honest claim, rather than a universal one. </w:t>
      </w:r>
      <w:r>
        <w:rPr>
          <w:b/>
        </w:rPr>
        <w:t xml:space="preserve">Open sub-question:</w:t>
      </w:r>
      <w:r>
        <w:t xml:space="preserve"> whether weight sensitivity (</w:t>
      </w:r>
      <w:r>
        <w:rPr>
          <w:rStyle w:val="CodeChar"/>
        </w:rPr>
        <w:t xml:space="preserve">alpha..eta</w:t>
      </w:r>
      <w:r>
        <w:t xml:space="preserve"> swept individually, holding others fixed) belongs in E6 or a separate E6b -- recommend folding it into E6 as a secondary sweep rather than a seventh numbered experiment, to avoid an E8.</w:t>
      </w:r>
    </w:p>
    <w:p>
      <w:pPr>
        <w:pStyle w:val="Heading2"/>
      </w:pPr>
      <w:r>
        <w:t xml:space="preserve">E3 and E7 -- not yet specified here</w:t>
      </w:r>
    </w:p>
    <w:p>
      <w:pPr/>
      <w:r>
        <w:t xml:space="preserve">The original research plan's Section 6 Stage 2/3 enumerates experiments up to E7, but only E1, E2, E4, E5, and E6 were carried over into this draft with enough detail to design; </w:t>
      </w:r>
      <w:r>
        <w:rPr>
          <w:b/>
        </w:rPr>
        <w:t xml:space="preserve">E3 and E7's exact scope were not captured in the material reviewed so far</w:t>
      </w:r>
      <w:r>
        <w:t xml:space="preserve"> (they may cover detection-quality trade-offs -- Macro-F1/Recall/FPR vs. scheduling latency -- which this prototype explicitly does not implement, per the README's scope note). Before finalizing Section 6, confirm E3 and E7's definitions against the original plan document and add them here rather than guessing their content.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Experimental Design (E1-E7)</dc:title>
  <dc:description>Claude Docs node/9b590d56-0d69@1 docx-w7</dc:description>
  <cp:revision>1</cp:revision>
</cp:coreProperties>
</file>