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Methodology</w:t>
      </w:r>
    </w:p>
    <w:p>
      <w:pPr/>
      <w:r>
        <w:t xml:space="preserve">This section specifies the RUSA-NIDS scheduling model implemented and validated in the accompanying prototype (</w:t>
      </w:r>
      <w:r>
        <w:rPr>
          <w:rStyle w:val="CodeChar"/>
        </w:rPr>
        <w:t xml:space="preserve">rusa_nids/</w:t>
      </w:r>
      <w:r>
        <w:t xml:space="preserve"> package), covering the decision variables (5.1), the scoring function (5.2), and the cluster execution semantics (5.3) that an earlier review of the pseudocode flagged as unstated.</w:t>
      </w:r>
    </w:p>
    <w:p>
      <w:pPr>
        <w:pStyle w:val="Heading2"/>
      </w:pPr>
      <w:r>
        <w:t xml:space="preserve">5.1 Problem formulation and decision variables</w:t>
      </w:r>
    </w:p>
    <w:p>
      <w:pPr/>
      <w:r>
        <w:t xml:space="preserve">Each incoming flow </w:t>
      </w:r>
      <w:r>
        <w:rPr>
          <w:rStyle w:val="CodeChar"/>
        </w:rPr>
        <w:t xml:space="preserve">i</w:t>
      </w:r>
      <w:r>
        <w:t xml:space="preserve"> carries four scheduling-relevant attributes: a security-risk score </w:t>
      </w:r>
      <w:r>
        <w:rPr>
          <w:rStyle w:val="CodeChar"/>
        </w:rPr>
        <w:t xml:space="preserve">r_i in [0,1]</w:t>
      </w:r>
      <w:r>
        <w:t xml:space="preserve"> from the upstream detector, a detection-uncertainty score </w:t>
      </w:r>
      <w:r>
        <w:rPr>
          <w:rStyle w:val="CodeChar"/>
        </w:rPr>
        <w:t xml:space="preserve">u_i in [0,1]</w:t>
      </w:r>
      <w:r>
        <w:t xml:space="preserve">, a deadline </w:t>
      </w:r>
      <w:r>
        <w:rPr>
          <w:rStyle w:val="CodeChar"/>
        </w:rPr>
        <w:t xml:space="preserve">d_i</w:t>
      </w:r>
      <w:r>
        <w:t xml:space="preserve"> (seconds remaining), and an estimated processing cost </w:t>
      </w:r>
      <w:r>
        <w:rPr>
          <w:rStyle w:val="CodeChar"/>
        </w:rPr>
        <w:t xml:space="preserve">c_i</w:t>
      </w:r>
      <w:r>
        <w:t xml:space="preserve">. Each worker </w:t>
      </w:r>
      <w:r>
        <w:rPr>
          <w:rStyle w:val="CodeChar"/>
        </w:rPr>
        <w:t xml:space="preserve">j</w:t>
      </w:r>
      <w:r>
        <w:t xml:space="preserve"> exposes a capacity </w:t>
      </w:r>
      <w:r>
        <w:rPr>
          <w:rStyle w:val="CodeChar"/>
        </w:rPr>
        <w:t xml:space="preserve">cap_j</w:t>
      </w:r>
      <w:r>
        <w:t xml:space="preserve">, available CPU and memory fractions, an in-flight cost </w:t>
      </w:r>
      <w:r>
        <w:rPr>
          <w:rStyle w:val="CodeChar"/>
        </w:rPr>
        <w:t xml:space="preserve">q_j</w:t>
      </w:r>
      <w:r>
        <w:t xml:space="preserve"> (used to derive queueing delay </w:t>
      </w:r>
      <w:r>
        <w:rPr>
          <w:rStyle w:val="CodeChar"/>
        </w:rPr>
        <w:t xml:space="preserve">q_j / cap_j</w:t>
      </w:r>
      <w:r>
        <w:t xml:space="preserve">), and a queue depth. The feasibility of assigning flow </w:t>
      </w:r>
      <w:r>
        <w:rPr>
          <w:rStyle w:val="CodeChar"/>
        </w:rPr>
        <w:t xml:space="preserve">i</w:t>
      </w:r>
      <w:r>
        <w:t xml:space="preserve"> to worker </w:t>
      </w:r>
      <w:r>
        <w:rPr>
          <w:rStyle w:val="CodeChar"/>
        </w:rPr>
        <w:t xml:space="preserve">j</w:t>
      </w:r>
      <w:r>
        <w:t xml:space="preserve"> requires </w:t>
      </w:r>
      <w:r>
        <w:rPr>
          <w:rStyle w:val="CodeChar"/>
        </w:rPr>
        <w:t xml:space="preserve">cap_j - q_j &gt;= c_i</w:t>
      </w:r>
      <w:r>
        <w:t xml:space="preserve"> and a worker-specific execution-time estimate </w:t>
      </w:r>
      <w:r>
        <w:rPr>
          <w:rStyle w:val="CodeChar"/>
        </w:rPr>
        <w:t xml:space="preserve">e_ij = c_i * (1 + pressure_j)</w:t>
      </w:r>
      <w:r>
        <w:t xml:space="preserve">, where </w:t>
      </w:r>
      <w:r>
        <w:rPr>
          <w:rStyle w:val="CodeChar"/>
        </w:rPr>
        <w:t xml:space="preserve">pressure_j = max(cpu_pressure_j, mem_pressure_j)</w:t>
      </w:r>
      <w:r>
        <w:t xml:space="preserve"> is the worker's current resource pressure. A candidate </w:t>
      </w:r>
      <w:r>
        <w:rPr>
          <w:rStyle w:val="CodeChar"/>
        </w:rPr>
        <w:t xml:space="preserve">(i,j)</w:t>
      </w:r>
      <w:r>
        <w:t xml:space="preserve"> pair is feasible only if </w:t>
      </w:r>
      <w:r>
        <w:rPr>
          <w:rStyle w:val="CodeChar"/>
        </w:rPr>
        <w:t xml:space="preserve">e_ij &lt;= remaining_deadline(i)</w:t>
      </w:r>
      <w:r>
        <w:t xml:space="preserve">; infeasible pairs are excluded before scoring, never scored and discarded after the fact.</w:t>
      </w:r>
    </w:p>
    <w:p>
      <w:pPr>
        <w:pStyle w:val="Heading2"/>
      </w:pPr>
      <w:r>
        <w:t xml:space="preserve">5.2 Scoring function</w:t>
      </w:r>
    </w:p>
    <w:p>
      <w:pPr/>
      <w:r>
        <w:t xml:space="preserve">For each feasible worker </w:t>
      </w:r>
      <w:r>
        <w:rPr>
          <w:rStyle w:val="CodeChar"/>
        </w:rPr>
        <w:t xml:space="preserve">j</w:t>
      </w:r>
      <w:r>
        <w:t xml:space="preserve">, RUSA-NIDS computes</w:t>
      </w:r>
    </w:p>
    <w:p>
      <w:pPr>
        <w:pStyle w:val="Code"/>
      </w:pPr>
      <w:bookmarkStart w:id="1" w:name="bongo_lang_latex_1"/>
      <w:bookmarkEnd w:id="1"/>
      <w:r>
        <w:t xml:space="preserve">S(i,j) = \alpha \hat{q}_j + \beta \hat{e}_{ij} + \gamma \hat{u}_i \hat{e}_{ij} + \delta \hat{v}_j - \eta \hat{ru}_{ij}</w:t>
      </w:r>
    </w:p>
    <w:p>
      <w:pPr/>
      <w:r>
        <w:t xml:space="preserve">and selects </w:t>
      </w:r>
      <w:r>
        <w:rPr>
          <w:rStyle w:val="CodeChar"/>
        </w:rPr>
        <w:t xml:space="preserve">argmin_j S(i,j)</w:t>
      </w:r>
      <w:r>
        <w:t xml:space="preserve">. Hats denote min-max normalization over the </w:t>
      </w:r>
      <w:r>
        <w:rPr>
          <w:i/>
        </w:rPr>
        <w:t xml:space="preserve">current feasible candidate set</w:t>
      </w:r>
      <w:r>
        <w:t xml:space="preserve"> for flow </w:t>
      </w:r>
      <w:r>
        <w:rPr>
          <w:rStyle w:val="CodeChar"/>
        </w:rPr>
        <w:t xml:space="preserve">i</w:t>
      </w:r>
      <w:r>
        <w:t xml:space="preserve"> -- not a global or offline statistic, since </w:t>
      </w:r>
      <w:r>
        <w:rPr>
          <w:rStyle w:val="CodeChar"/>
        </w:rPr>
        <w:t xml:space="preserve">S</w:t>
      </w:r>
      <w:r>
        <w:t xml:space="preserve"> is not directly comparable across flows. </w:t>
      </w:r>
      <w:r>
        <w:rPr>
          <w:rStyle w:val="CodeChar"/>
        </w:rPr>
        <w:t xml:space="preserve">ru_hat_ij</w:t>
      </w:r>
      <w:r>
        <w:t xml:space="preserve"> is </w:t>
      </w:r>
      <w:r>
        <w:rPr>
          <w:rStyle w:val="CodeChar"/>
        </w:rPr>
        <w:t xml:space="preserve">r_i * g(d_i, q_hat_j)</w:t>
      </w:r>
      <w:r>
        <w:t xml:space="preserve"> (risk times urgency), min-max normalized across the same candidate set as </w:t>
      </w:r>
      <w:r>
        <w:rPr>
          <w:rStyle w:val="CodeChar"/>
        </w:rPr>
        <w:t xml:space="preserve">q_hat</w:t>
      </w:r>
      <w:r>
        <w:t xml:space="preserve">/</w:t>
      </w:r>
      <w:r>
        <w:rPr>
          <w:rStyle w:val="CodeChar"/>
        </w:rPr>
        <w:t xml:space="preserve">e_hat</w:t>
      </w:r>
      <w:r>
        <w:t xml:space="preserve">/</w:t>
      </w:r>
      <w:r>
        <w:rPr>
          <w:rStyle w:val="CodeChar"/>
        </w:rPr>
        <w:t xml:space="preserve">v_hat</w:t>
      </w:r>
      <w:r>
        <w:t xml:space="preserve">. </w:t>
      </w:r>
      <w:r>
        <w:rPr>
          <w:b/>
        </w:rPr>
        <w:t xml:space="preserve">This normalization was added as a fix, not part of the original design</w:t>
      </w:r>
      <w:r>
        <w:t xml:space="preserve"> (</w:t>
      </w:r>
      <w:r>
        <w:t xml:space="preserve">Preliminary Results (Synthetic)</w:t>
      </w:r>
      <w:r>
        <w:t xml:space="preserve">): the first implementation subtracted the raw product </w:t>
      </w:r>
      <w:r>
        <w:rPr>
          <w:rStyle w:val="CodeChar"/>
        </w:rPr>
        <w:t xml:space="preserve">eta * r_i * g(...)</w:t>
      </w:r>
      <w:r>
        <w:t xml:space="preserve">, bounded in [0, eta], against three terms each bounded in [0, 1] and summed with weights of order 1 -- measured on the synthetic simulator, that scale mismatch meant eta had to reach ~100-200 before the risk x urgency term ever changed a single routing decision, so every result produced under the original formula with the stated default (</w:t>
      </w:r>
      <w:r>
        <w:rPr>
          <w:rStyle w:val="CodeChar"/>
        </w:rPr>
        <w:t xml:space="preserve">eta=1.5</w:t>
      </w:r>
      <w:r>
        <w:t xml:space="preserve">) was, in effect, identical to Resource-Aware. </w:t>
      </w:r>
      <w:r>
        <w:rPr>
          <w:rStyle w:val="CodeChar"/>
        </w:rPr>
        <w:t xml:space="preserve">ru_hat</w:t>
      </w:r>
      <w:r>
        <w:t xml:space="preserve"> puts eta on the same footing as alpha/beta/gamma/delta; </w:t>
      </w:r>
      <w:r>
        <w:rPr>
          <w:rStyle w:val="CodeChar"/>
        </w:rPr>
        <w:t xml:space="preserve">RusaWeights(legacy_unnormalized_eta=True)</w:t>
      </w:r>
      <w:r>
        <w:t xml:space="preserve"> reproduces the pre-fix (inert) behavior for anyone re-deriving the earlier numbers. </w:t>
      </w:r>
      <w:r>
        <w:rPr>
          <w:rStyle w:val="CodeChar"/>
        </w:rPr>
        <w:t xml:space="preserve">alpha=1.0, beta=1.0, gamma=0.5, delta=0.5</w:t>
      </w:r>
      <w:r>
        <w:t xml:space="preserve"> were chosen by inspection, not fit; </w:t>
      </w:r>
      <w:r>
        <w:rPr>
          <w:rStyle w:val="CodeChar"/>
        </w:rPr>
        <w:t xml:space="preserve">eta</w:t>
      </w:r>
      <w:r>
        <w:t xml:space="preserve"> additionally needs re-calibration now that it has a real effect -- a single-seed grid search on the synthetic simulator (see Preliminary Results) found </w:t>
      </w:r>
      <w:r>
        <w:rPr>
          <w:rStyle w:val="CodeChar"/>
        </w:rPr>
        <w:t xml:space="preserve">eta</w:t>
      </w:r>
      <w:r>
        <w:t xml:space="preserve"> in [1.75, 2.5] beating the stated default of 1.5, which is itself worse than </w:t>
      </w:r>
      <w:r>
        <w:rPr>
          <w:rStyle w:val="CodeChar"/>
        </w:rPr>
        <w:t xml:space="preserve">eta=0</w:t>
      </w:r>
      <w:r>
        <w:t xml:space="preserve"> in one tested regime. None of this is calibrated on real data yet; Section 5.1's offline train/validation discipline applies to </w:t>
      </w:r>
      <w:r>
        <w:rPr>
          <w:rStyle w:val="CodeChar"/>
        </w:rPr>
        <w:t xml:space="preserve">eta</w:t>
      </w:r>
      <w:r>
        <w:t xml:space="preserve"> specifically before any number from this scorer is reported as final.</w:t>
      </w:r>
    </w:p>
    <w:p>
      <w:pPr>
        <w:pStyle w:val="Heading2"/>
      </w:pPr>
      <w:r>
        <w:t xml:space="preserve">5.3 Cluster execution semantics</w:t>
      </w:r>
    </w:p>
    <w:p>
      <w:pPr/>
      <w:r>
        <w:t xml:space="preserve">The scoring function alone does not specify a working scheduler; </w:t>
      </w:r>
      <w:r>
        <w:rPr>
          <w:rStyle w:val="CodeChar"/>
        </w:rPr>
        <w:t xml:space="preserve">ClusterState</w:t>
      </w:r>
      <w:r>
        <w:t xml:space="preserve"> (the prototype's </w:t>
      </w:r>
      <w:r>
        <w:rPr>
          <w:rStyle w:val="CodeChar"/>
        </w:rPr>
        <w:t xml:space="preserve">cluster.py</w:t>
      </w:r>
      <w:r>
        <w:t xml:space="preserve">) adds the five guarantees the original pseudocode left unstated: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Atomic allocation.</w:t>
      </w:r>
      <w:r>
        <w:t xml:space="preserve"> </w:t>
      </w:r>
      <w:r>
        <w:rPr>
          <w:rStyle w:val="CodeChar"/>
        </w:rPr>
        <w:t xml:space="preserve">submit()</w:t>
      </w:r>
      <w:r>
        <w:t xml:space="preserve"> holds a lock across feasibility-check, scoring, and capacity-commit, so two concurrent submissions can never both be accepted onto a worker that only has room for 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Queue management with bounded backpressure.</w:t>
      </w:r>
      <w:r>
        <w:t xml:space="preserve"> An infeasible flow is placed in a pending queue capped at </w:t>
      </w:r>
      <w:r>
        <w:rPr>
          <w:rStyle w:val="CodeChar"/>
        </w:rPr>
        <w:t xml:space="preserve">max_queue_size</w:t>
      </w:r>
      <w:r>
        <w:t xml:space="preserve">; once full, further flows are dropped with an explicit </w:t>
      </w:r>
      <w:r>
        <w:rPr>
          <w:rStyle w:val="CodeChar"/>
        </w:rPr>
        <w:t xml:space="preserve">DROPPED_QUEUE_FULL</w:t>
      </w:r>
      <w:r>
        <w:t xml:space="preserve"> reason -- never silently.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Starvation prevention.</w:t>
      </w:r>
      <w:r>
        <w:t xml:space="preserve"> </w:t>
      </w:r>
      <w:r>
        <w:rPr>
          <w:rStyle w:val="CodeChar"/>
        </w:rPr>
        <w:t xml:space="preserve">retry_pending()</w:t>
      </w:r>
      <w:r>
        <w:t xml:space="preserve"> re-sorts the pending queue by urgency (earliest-deadline-first) on every pass and bounds retries at </w:t>
      </w:r>
      <w:r>
        <w:rPr>
          <w:rStyle w:val="CodeChar"/>
        </w:rPr>
        <w:t xml:space="preserve">max_requeue_attempts</w:t>
      </w:r>
      <w:r>
        <w:t xml:space="preserve">; a flow that exhausts its attempts is dropped with </w:t>
      </w:r>
      <w:r>
        <w:rPr>
          <w:rStyle w:val="CodeChar"/>
        </w:rPr>
        <w:t xml:space="preserve">DROPPED_DEADLINE_EXCEEDED</w:t>
      </w:r>
      <w:r>
        <w:t xml:space="preserve">, not retried forever.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Decision logging.</w:t>
      </w:r>
      <w:r>
        <w:t xml:space="preserve"> Every submit, requeue, and drop appends an immutable </w:t>
      </w:r>
      <w:r>
        <w:rPr>
          <w:rStyle w:val="CodeChar"/>
        </w:rPr>
        <w:t xml:space="preserve">ScheduleDecision</w:t>
      </w:r>
      <w:r>
        <w:t xml:space="preserve"> to an append-only audit log, so the 'no flow vanishes silently' guarantee is independently testable (see </w:t>
      </w:r>
      <w:r>
        <w:rPr>
          <w:rStyle w:val="CodeChar"/>
        </w:rPr>
        <w:t xml:space="preserve">tests/test_cluster.py</w:t>
      </w:r>
      <w:r>
        <w:t xml:space="preserve">), not just asserted in prose.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Worker-fault handling.</w:t>
      </w:r>
      <w:r>
        <w:t xml:space="preserve"> </w:t>
      </w:r>
      <w:r>
        <w:rPr>
          <w:rStyle w:val="CodeChar"/>
        </w:rPr>
        <w:t xml:space="preserve">mark_worker_down()</w:t>
      </w:r>
      <w:r>
        <w:t xml:space="preserve"> requeues that worker's in-flight flows at the </w:t>
      </w:r>
      <w:r>
        <w:rPr>
          <w:i/>
        </w:rPr>
        <w:t xml:space="preserve">front</w:t>
      </w:r>
      <w:r>
        <w:t xml:space="preserve"> of the pending queue, sorted by urgency, and resets their </w:t>
      </w:r>
      <w:r>
        <w:rPr>
          <w:rStyle w:val="CodeChar"/>
        </w:rPr>
        <w:t xml:space="preserve">requeue_count</w:t>
      </w:r>
      <w:r>
        <w:t xml:space="preserve"> to zero -- a flow does not get penalized toward the starvation bound for a failure that was not its fault.</w:t>
      </w:r>
    </w:p>
    <w:p>
      <w:pPr>
        <w:pStyle w:val="Heading2"/>
      </w:pPr>
      <w:r>
        <w:t xml:space="preserve">Baselines</w:t>
      </w:r>
    </w:p>
    <w:p>
      <w:pPr/>
      <w:r>
        <w:t xml:space="preserve">Four baselines isolate individual terms of </w:t>
      </w:r>
      <w:r>
        <w:rPr>
          <w:rStyle w:val="CodeChar"/>
        </w:rPr>
        <w:t xml:space="preserve">S(i,j)</w:t>
      </w:r>
      <w:r>
        <w:t xml:space="preserve"> for the ablation in Section 6: Round Robin (no state), Least Loaded (</w:t>
      </w:r>
      <w:r>
        <w:rPr>
          <w:rStyle w:val="CodeChar"/>
        </w:rPr>
        <w:t xml:space="preserve">q_j</w:t>
      </w:r>
      <w:r>
        <w:t xml:space="preserve"> only), Resource-Aware (</w:t>
      </w:r>
      <w:r>
        <w:rPr>
          <w:rStyle w:val="CodeChar"/>
        </w:rPr>
        <w:t xml:space="preserve">q_j</w:t>
      </w:r>
      <w:r>
        <w:t xml:space="preserve"> and </w:t>
      </w:r>
      <w:r>
        <w:rPr>
          <w:rStyle w:val="CodeChar"/>
        </w:rPr>
        <w:t xml:space="preserve">pressure_j</w:t>
      </w:r>
      <w:r>
        <w:t xml:space="preserve">, i.e. </w:t>
      </w:r>
      <w:r>
        <w:rPr>
          <w:rStyle w:val="CodeChar"/>
        </w:rPr>
        <w:t xml:space="preserve">alpha,beta,delta</w:t>
      </w:r>
      <w:r>
        <w:t xml:space="preserve"> with </w:t>
      </w:r>
      <w:r>
        <w:rPr>
          <w:rStyle w:val="CodeChar"/>
        </w:rPr>
        <w:t xml:space="preserve">gamma=eta=0</w:t>
      </w:r>
      <w:r>
        <w:t xml:space="preserve">), and Risk-Priority (</w:t>
      </w:r>
      <w:r>
        <w:rPr>
          <w:rStyle w:val="CodeChar"/>
        </w:rPr>
        <w:t xml:space="preserve">q_j</w:t>
      </w:r>
      <w:r>
        <w:t xml:space="preserve"> scaled by </w:t>
      </w:r>
      <w:r>
        <w:rPr>
          <w:rStyle w:val="CodeChar"/>
        </w:rPr>
        <w:t xml:space="preserve">r_i</w:t>
      </w:r>
      <w:r>
        <w:t xml:space="preserve">, i.e. a scalar risk weight on queue delay rather than RUSA-NIDS's joint risk-uncertainty-urgency term). All five policies share the same </w:t>
      </w:r>
      <w:r>
        <w:rPr>
          <w:rStyle w:val="CodeChar"/>
        </w:rPr>
        <w:t xml:space="preserve">SchedulingPolicy</w:t>
      </w:r>
      <w:r>
        <w:t xml:space="preserve"> interface and are implemented as pure functions with no side effects on </w:t>
      </w:r>
      <w:r>
        <w:rPr>
          <w:rStyle w:val="CodeChar"/>
        </w:rPr>
        <w:t xml:space="preserve">Worker</w:t>
      </w:r>
      <w:r>
        <w:t xml:space="preserve"> state, a contract enforced by a dedicated test (</w:t>
      </w:r>
      <w:r>
        <w:rPr>
          <w:rStyle w:val="CodeChar"/>
        </w:rPr>
        <w:t xml:space="preserve">test_scheduler_policies_are_pure_no_mutation_on_declined_candidates</w:t>
      </w:r>
      <w:r>
        <w:t xml:space="preserve">).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Methodology</dc:title>
  <dc:description>Claude Docs node/655f1e14-f910@2 docx-w7</dc:description>
  <cp:revision>2</cp:revision>
</cp:coreProperties>
</file>