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Preliminary Results (Synthetic Simulator)</w:t>
      </w:r>
    </w:p>
    <w:p>
      <w:pPr/>
      <w:r>
        <w:t xml:space="preserve">Ran </w:t>
      </w:r>
      <w:r>
        <w:rPr>
          <w:rStyle w:val="CodeChar"/>
        </w:rPr>
        <w:t xml:space="preserve">scripts/run_full_experiment_suite.py</w:t>
      </w:r>
      <w:r>
        <w:t xml:space="preserve"> against </w:t>
      </w:r>
      <w:r>
        <w:rPr>
          <w:rStyle w:val="CodeChar"/>
        </w:rPr>
        <w:t xml:space="preserve">rusa_nids</w:t>
      </w:r>
      <w:r>
        <w:t xml:space="preserve">'s discrete-event simulator (not CICIDS2017/CSE-CIC-IDS2018 -- see README's scope note). 3000 flows, seed 42, Poisson arrivals, Beta-distributed risk/uncertainty with no risk-deadline correlation (by design, per the Option B decision). These numbers replace the plan in the Experimental Design tab with what the harness actually measured; real E1-E7 numbers still require swapping the generator for a real trace.</w:t>
      </w:r>
    </w:p>
    <w:p>
      <w:pPr/>
      <w:r>
        <w:rPr>
          <w:b/>
        </w:rPr>
        <w:t xml:space="preserve">Updated 2026-10-19:</w:t>
      </w:r>
      <w:r>
        <w:t xml:space="preserve"> a scoring-function bug was found and fixed while running E6 (see the Root Cause section below, after E6) -- the risk x urgency term was structurally inert at the paper's stated default weight. All tables in this tab now reflect the </w:t>
      </w:r>
      <w:r>
        <w:rPr>
          <w:i/>
        </w:rPr>
        <w:t xml:space="preserve">fixed</w:t>
      </w:r>
      <w:r>
        <w:t xml:space="preserve"> scorer; the Experimental Design tab's E1 section has been updated to match.</w:t>
      </w:r>
    </w:p>
    <w:p>
      <w:pPr>
        <w:pStyle w:val="Heading2"/>
      </w:pPr>
      <w:r>
        <w:t xml:space="preserve">E1 -- worker-count scaling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77"/>
        <w:gridCol w:w="2391"/>
        <w:gridCol w:w="1680"/>
        <w:gridCol w:w="2584"/>
        <w:gridCol w:w="1325"/>
      </w:tblGrid>
      <w:tr>
        <w:trPr>
          <w:tblHeader/>
        </w:trPr>
        <w:tc>
          <w:tcPr>
            <w:tcW w:w="1377" w:type="dxa"/>
            <w:shd w:val="clear" w:color="auto" w:fill="F2F2F2"/>
          </w:tcPr>
          <w:p>
            <w:pPr/>
            <w:r>
              <w:t xml:space="preserve">workers</w:t>
            </w:r>
          </w:p>
        </w:tc>
        <w:tc>
          <w:tcPr>
            <w:tcW w:w="2391" w:type="dxa"/>
            <w:shd w:val="clear" w:color="auto" w:fill="F2F2F2"/>
          </w:tcPr>
          <w:p>
            <w:pPr/>
            <w:r>
              <w:t xml:space="preserve">policy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completed</w:t>
            </w:r>
          </w:p>
        </w:tc>
        <w:tc>
          <w:tcPr>
            <w:tcW w:w="2584" w:type="dxa"/>
            <w:shd w:val="clear" w:color="auto" w:fill="F2F2F2"/>
          </w:tcPr>
          <w:p>
            <w:pPr/>
            <w:r>
              <w:t xml:space="preserve">dropped_deadline</w:t>
            </w:r>
          </w:p>
        </w:tc>
        <w:tc>
          <w:tcPr>
            <w:tcW w:w="1325" w:type="dxa"/>
            <w:shd w:val="clear" w:color="auto" w:fill="F2F2F2"/>
          </w:tcPr>
          <w:p>
            <w:pPr/>
            <w:r>
              <w:t xml:space="preserve">p95_ms</w:t>
            </w:r>
          </w:p>
        </w:tc>
      </w:tr>
      <w:tr>
        <w:tc>
          <w:tcPr>
            <w:tcW w:w="1377" w:type="dxa"/>
          </w:tcPr>
          <w:p>
            <w:pPr/>
            <w:r>
              <w:t xml:space="preserve">2</w:t>
            </w:r>
          </w:p>
        </w:tc>
        <w:tc>
          <w:tcPr>
            <w:tcW w:w="2391" w:type="dxa"/>
          </w:tcPr>
          <w:p>
            <w:pPr/>
            <w:r>
              <w:t xml:space="preserve">resource_aware</w:t>
            </w:r>
          </w:p>
        </w:tc>
        <w:tc>
          <w:tcPr>
            <w:tcW w:w="1680" w:type="dxa"/>
          </w:tcPr>
          <w:p>
            <w:pPr/>
            <w:r>
              <w:t xml:space="preserve">1954</w:t>
            </w:r>
          </w:p>
        </w:tc>
        <w:tc>
          <w:tcPr>
            <w:tcW w:w="2584" w:type="dxa"/>
          </w:tcPr>
          <w:p>
            <w:pPr/>
            <w:r>
              <w:t xml:space="preserve">1022</w:t>
            </w:r>
          </w:p>
        </w:tc>
        <w:tc>
          <w:tcPr>
            <w:tcW w:w="1325" w:type="dxa"/>
          </w:tcPr>
          <w:p>
            <w:pPr/>
            <w:r>
              <w:t xml:space="preserve">43.51</w:t>
            </w:r>
          </w:p>
        </w:tc>
      </w:tr>
      <w:tr>
        <w:tc>
          <w:tcPr>
            <w:tcW w:w="1377" w:type="dxa"/>
          </w:tcPr>
          <w:p>
            <w:pPr/>
            <w:r>
              <w:t xml:space="preserve">2</w:t>
            </w:r>
          </w:p>
        </w:tc>
        <w:tc>
          <w:tcPr>
            <w:tcW w:w="2391" w:type="dxa"/>
          </w:tcPr>
          <w:p>
            <w:pPr/>
            <w:r>
              <w:t xml:space="preserve">rusa_nids</w:t>
            </w:r>
          </w:p>
        </w:tc>
        <w:tc>
          <w:tcPr>
            <w:tcW w:w="1680" w:type="dxa"/>
          </w:tcPr>
          <w:p>
            <w:pPr/>
            <w:r>
              <w:t xml:space="preserve">2318</w:t>
            </w:r>
          </w:p>
        </w:tc>
        <w:tc>
          <w:tcPr>
            <w:tcW w:w="2584" w:type="dxa"/>
          </w:tcPr>
          <w:p>
            <w:pPr/>
            <w:r>
              <w:t xml:space="preserve">664</w:t>
            </w:r>
          </w:p>
        </w:tc>
        <w:tc>
          <w:tcPr>
            <w:tcW w:w="1325" w:type="dxa"/>
          </w:tcPr>
          <w:p>
            <w:pPr/>
            <w:r>
              <w:t xml:space="preserve">43.39</w:t>
            </w:r>
          </w:p>
        </w:tc>
      </w:tr>
      <w:tr>
        <w:tc>
          <w:tcPr>
            <w:tcW w:w="1377" w:type="dxa"/>
          </w:tcPr>
          <w:p>
            <w:pPr/>
            <w:r>
              <w:t xml:space="preserve">4</w:t>
            </w:r>
          </w:p>
        </w:tc>
        <w:tc>
          <w:tcPr>
            <w:tcW w:w="2391" w:type="dxa"/>
          </w:tcPr>
          <w:p>
            <w:pPr/>
            <w:r>
              <w:t xml:space="preserve">resource_aware</w:t>
            </w:r>
          </w:p>
        </w:tc>
        <w:tc>
          <w:tcPr>
            <w:tcW w:w="1680" w:type="dxa"/>
          </w:tcPr>
          <w:p>
            <w:pPr/>
            <w:r>
              <w:t xml:space="preserve">2998</w:t>
            </w:r>
          </w:p>
        </w:tc>
        <w:tc>
          <w:tcPr>
            <w:tcW w:w="2584" w:type="dxa"/>
          </w:tcPr>
          <w:p>
            <w:pPr/>
            <w:r>
              <w:t xml:space="preserve">1</w:t>
            </w:r>
          </w:p>
        </w:tc>
        <w:tc>
          <w:tcPr>
            <w:tcW w:w="1325" w:type="dxa"/>
          </w:tcPr>
          <w:p>
            <w:pPr/>
            <w:r>
              <w:t xml:space="preserve">38.90</w:t>
            </w:r>
          </w:p>
        </w:tc>
      </w:tr>
      <w:tr>
        <w:tc>
          <w:tcPr>
            <w:tcW w:w="1377" w:type="dxa"/>
          </w:tcPr>
          <w:p>
            <w:pPr/>
            <w:r>
              <w:t xml:space="preserve">4</w:t>
            </w:r>
          </w:p>
        </w:tc>
        <w:tc>
          <w:tcPr>
            <w:tcW w:w="2391" w:type="dxa"/>
          </w:tcPr>
          <w:p>
            <w:pPr/>
            <w:r>
              <w:t xml:space="preserve">rusa_nids</w:t>
            </w:r>
          </w:p>
        </w:tc>
        <w:tc>
          <w:tcPr>
            <w:tcW w:w="1680" w:type="dxa"/>
          </w:tcPr>
          <w:p>
            <w:pPr/>
            <w:r>
              <w:t xml:space="preserve">2998</w:t>
            </w:r>
          </w:p>
        </w:tc>
        <w:tc>
          <w:tcPr>
            <w:tcW w:w="2584" w:type="dxa"/>
          </w:tcPr>
          <w:p>
            <w:pPr/>
            <w:r>
              <w:t xml:space="preserve">1</w:t>
            </w:r>
          </w:p>
        </w:tc>
        <w:tc>
          <w:tcPr>
            <w:tcW w:w="1325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377" w:type="dxa"/>
          </w:tcPr>
          <w:p>
            <w:pPr/>
            <w:r>
              <w:t xml:space="preserve">8</w:t>
            </w:r>
          </w:p>
        </w:tc>
        <w:tc>
          <w:tcPr>
            <w:tcW w:w="2391" w:type="dxa"/>
          </w:tcPr>
          <w:p>
            <w:pPr/>
            <w:r>
              <w:t xml:space="preserve">resource_aware</w:t>
            </w:r>
          </w:p>
        </w:tc>
        <w:tc>
          <w:tcPr>
            <w:tcW w:w="1680" w:type="dxa"/>
          </w:tcPr>
          <w:p>
            <w:pPr/>
            <w:r>
              <w:t xml:space="preserve">3000</w:t>
            </w:r>
          </w:p>
        </w:tc>
        <w:tc>
          <w:tcPr>
            <w:tcW w:w="2584" w:type="dxa"/>
          </w:tcPr>
          <w:p>
            <w:pPr/>
            <w:r>
              <w:t xml:space="preserve">0</w:t>
            </w:r>
          </w:p>
        </w:tc>
        <w:tc>
          <w:tcPr>
            <w:tcW w:w="1325" w:type="dxa"/>
          </w:tcPr>
          <w:p>
            <w:pPr/>
            <w:r>
              <w:t xml:space="preserve">38.16</w:t>
            </w:r>
          </w:p>
        </w:tc>
      </w:tr>
      <w:tr>
        <w:tc>
          <w:tcPr>
            <w:tcW w:w="1377" w:type="dxa"/>
          </w:tcPr>
          <w:p>
            <w:pPr/>
            <w:r>
              <w:t xml:space="preserve">8</w:t>
            </w:r>
          </w:p>
        </w:tc>
        <w:tc>
          <w:tcPr>
            <w:tcW w:w="2391" w:type="dxa"/>
          </w:tcPr>
          <w:p>
            <w:pPr/>
            <w:r>
              <w:t xml:space="preserve">rusa_nids</w:t>
            </w:r>
          </w:p>
        </w:tc>
        <w:tc>
          <w:tcPr>
            <w:tcW w:w="1680" w:type="dxa"/>
          </w:tcPr>
          <w:p>
            <w:pPr/>
            <w:r>
              <w:t xml:space="preserve">3000</w:t>
            </w:r>
          </w:p>
        </w:tc>
        <w:tc>
          <w:tcPr>
            <w:tcW w:w="2584" w:type="dxa"/>
          </w:tcPr>
          <w:p>
            <w:pPr/>
            <w:r>
              <w:t xml:space="preserve">0</w:t>
            </w:r>
          </w:p>
        </w:tc>
        <w:tc>
          <w:tcPr>
            <w:tcW w:w="1325" w:type="dxa"/>
          </w:tcPr>
          <w:p>
            <w:pPr/>
            <w:r>
              <w:t xml:space="preserve">38.72</w:t>
            </w:r>
          </w:p>
        </w:tc>
      </w:tr>
    </w:tbl>
    <w:p>
      <w:pPr/>
      <w:r>
        <w:rPr>
          <w:b/>
        </w:rPr>
        <w:t xml:space="preserve">Finding:</w:t>
      </w:r>
      <w:r>
        <w:t xml:space="preserve"> RUSA-NIDS beats </w:t>
      </w:r>
      <w:r>
        <w:rPr>
          <w:rStyle w:val="CodeChar"/>
        </w:rPr>
        <w:t xml:space="preserve">resource_aware</w:t>
      </w:r>
      <w:r>
        <w:t xml:space="preserve"> by a real margin only at workers=2 (completed 2318 vs 1954, dropped_deadline 664 vs 1022) -- a congestion regime where the uncertainty x execution-cost term (</w:t>
      </w:r>
      <w:r>
        <w:rPr>
          <w:rStyle w:val="CodeChar"/>
        </w:rPr>
        <w:t xml:space="preserve">beta</w:t>
      </w:r>
      <w:r>
        <w:t xml:space="preserve">, </w:t>
      </w:r>
      <w:r>
        <w:rPr>
          <w:rStyle w:val="CodeChar"/>
        </w:rPr>
        <w:t xml:space="preserve">gamma</w:t>
      </w:r>
      <w:r>
        <w:t xml:space="preserve">) still smooths routing. At workers=4 the two are statistically identical, and at workers&gt;=8 they are bit-for-bit identical. This pins the break point at workers=2, not "2-4" as previously estimated.</w:t>
      </w:r>
    </w:p>
    <w:p>
      <w:pPr>
        <w:pStyle w:val="Heading2"/>
      </w:pPr>
      <w:r>
        <w:t xml:space="preserve">E2 -- input intensity (workers=4, varying offered load per worker)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9"/>
        <w:gridCol w:w="2258"/>
        <w:gridCol w:w="1587"/>
        <w:gridCol w:w="2441"/>
        <w:gridCol w:w="1252"/>
      </w:tblGrid>
      <w:tr>
        <w:trPr>
          <w:tblHeader/>
        </w:trPr>
        <w:tc>
          <w:tcPr>
            <w:tcW w:w="1819" w:type="dxa"/>
            <w:shd w:val="clear" w:color="auto" w:fill="F2F2F2"/>
          </w:tcPr>
          <w:p>
            <w:pPr/>
            <w:r>
              <w:t xml:space="preserve">offered_load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policy</w:t>
            </w:r>
          </w:p>
        </w:tc>
        <w:tc>
          <w:tcPr>
            <w:tcW w:w="1587" w:type="dxa"/>
            <w:shd w:val="clear" w:color="auto" w:fill="F2F2F2"/>
          </w:tcPr>
          <w:p>
            <w:pPr/>
            <w:r>
              <w:t xml:space="preserve">completed</w:t>
            </w:r>
          </w:p>
        </w:tc>
        <w:tc>
          <w:tcPr>
            <w:tcW w:w="2441" w:type="dxa"/>
            <w:shd w:val="clear" w:color="auto" w:fill="F2F2F2"/>
          </w:tcPr>
          <w:p>
            <w:pPr/>
            <w:r>
              <w:t xml:space="preserve">dropped_deadline</w:t>
            </w:r>
          </w:p>
        </w:tc>
        <w:tc>
          <w:tcPr>
            <w:tcW w:w="1252" w:type="dxa"/>
            <w:shd w:val="clear" w:color="auto" w:fill="F2F2F2"/>
          </w:tcPr>
          <w:p>
            <w:pPr/>
            <w:r>
              <w:t xml:space="preserve">p95_ms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0.5</w:t>
            </w:r>
          </w:p>
        </w:tc>
        <w:tc>
          <w:tcPr>
            <w:tcW w:w="2258" w:type="dxa"/>
          </w:tcPr>
          <w:p>
            <w:pPr/>
            <w:r>
              <w:t xml:space="preserve">resource_aware</w:t>
            </w:r>
          </w:p>
        </w:tc>
        <w:tc>
          <w:tcPr>
            <w:tcW w:w="1587" w:type="dxa"/>
          </w:tcPr>
          <w:p>
            <w:pPr/>
            <w:r>
              <w:t xml:space="preserve">2998</w:t>
            </w:r>
          </w:p>
        </w:tc>
        <w:tc>
          <w:tcPr>
            <w:tcW w:w="2441" w:type="dxa"/>
          </w:tcPr>
          <w:p>
            <w:pPr/>
            <w:r>
              <w:t xml:space="preserve">1</w:t>
            </w:r>
          </w:p>
        </w:tc>
        <w:tc>
          <w:tcPr>
            <w:tcW w:w="1252" w:type="dxa"/>
          </w:tcPr>
          <w:p>
            <w:pPr/>
            <w:r>
              <w:t xml:space="preserve">38.90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0.5</w:t>
            </w:r>
          </w:p>
        </w:tc>
        <w:tc>
          <w:tcPr>
            <w:tcW w:w="2258" w:type="dxa"/>
          </w:tcPr>
          <w:p>
            <w:pPr/>
            <w:r>
              <w:t xml:space="preserve">rusa_nids</w:t>
            </w:r>
          </w:p>
        </w:tc>
        <w:tc>
          <w:tcPr>
            <w:tcW w:w="1587" w:type="dxa"/>
          </w:tcPr>
          <w:p>
            <w:pPr/>
            <w:r>
              <w:t xml:space="preserve">2998</w:t>
            </w:r>
          </w:p>
        </w:tc>
        <w:tc>
          <w:tcPr>
            <w:tcW w:w="2441" w:type="dxa"/>
          </w:tcPr>
          <w:p>
            <w:pPr/>
            <w:r>
              <w:t xml:space="preserve">1</w:t>
            </w:r>
          </w:p>
        </w:tc>
        <w:tc>
          <w:tcPr>
            <w:tcW w:w="1252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0.714</w:t>
            </w:r>
          </w:p>
        </w:tc>
        <w:tc>
          <w:tcPr>
            <w:tcW w:w="2258" w:type="dxa"/>
          </w:tcPr>
          <w:p>
            <w:pPr/>
            <w:r>
              <w:t xml:space="preserve">resource_aware</w:t>
            </w:r>
          </w:p>
        </w:tc>
        <w:tc>
          <w:tcPr>
            <w:tcW w:w="1587" w:type="dxa"/>
          </w:tcPr>
          <w:p>
            <w:pPr/>
            <w:r>
              <w:t xml:space="preserve">2999</w:t>
            </w:r>
          </w:p>
        </w:tc>
        <w:tc>
          <w:tcPr>
            <w:tcW w:w="2441" w:type="dxa"/>
          </w:tcPr>
          <w:p>
            <w:pPr/>
            <w:r>
              <w:t xml:space="preserve">1</w:t>
            </w:r>
          </w:p>
        </w:tc>
        <w:tc>
          <w:tcPr>
            <w:tcW w:w="1252" w:type="dxa"/>
          </w:tcPr>
          <w:p>
            <w:pPr/>
            <w:r>
              <w:t xml:space="preserve">38.90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0.714</w:t>
            </w:r>
          </w:p>
        </w:tc>
        <w:tc>
          <w:tcPr>
            <w:tcW w:w="2258" w:type="dxa"/>
          </w:tcPr>
          <w:p>
            <w:pPr/>
            <w:r>
              <w:t xml:space="preserve">rusa_nids</w:t>
            </w:r>
          </w:p>
        </w:tc>
        <w:tc>
          <w:tcPr>
            <w:tcW w:w="1587" w:type="dxa"/>
          </w:tcPr>
          <w:p>
            <w:pPr/>
            <w:r>
              <w:t xml:space="preserve">2999</w:t>
            </w:r>
          </w:p>
        </w:tc>
        <w:tc>
          <w:tcPr>
            <w:tcW w:w="2441" w:type="dxa"/>
          </w:tcPr>
          <w:p>
            <w:pPr/>
            <w:r>
              <w:t xml:space="preserve">1</w:t>
            </w:r>
          </w:p>
        </w:tc>
        <w:tc>
          <w:tcPr>
            <w:tcW w:w="1252" w:type="dxa"/>
          </w:tcPr>
          <w:p>
            <w:pPr/>
            <w:r>
              <w:t xml:space="preserve">38.74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1.0</w:t>
            </w:r>
          </w:p>
        </w:tc>
        <w:tc>
          <w:tcPr>
            <w:tcW w:w="2258" w:type="dxa"/>
          </w:tcPr>
          <w:p>
            <w:pPr/>
            <w:r>
              <w:t xml:space="preserve">resource_aware</w:t>
            </w:r>
          </w:p>
        </w:tc>
        <w:tc>
          <w:tcPr>
            <w:tcW w:w="1587" w:type="dxa"/>
          </w:tcPr>
          <w:p>
            <w:pPr/>
            <w:r>
              <w:t xml:space="preserve">2827</w:t>
            </w:r>
          </w:p>
        </w:tc>
        <w:tc>
          <w:tcPr>
            <w:tcW w:w="2441" w:type="dxa"/>
          </w:tcPr>
          <w:p>
            <w:pPr/>
            <w:r>
              <w:t xml:space="preserve">169</w:t>
            </w:r>
          </w:p>
        </w:tc>
        <w:tc>
          <w:tcPr>
            <w:tcW w:w="1252" w:type="dxa"/>
          </w:tcPr>
          <w:p>
            <w:pPr/>
            <w:r>
              <w:t xml:space="preserve">39.07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1.0</w:t>
            </w:r>
          </w:p>
        </w:tc>
        <w:tc>
          <w:tcPr>
            <w:tcW w:w="2258" w:type="dxa"/>
          </w:tcPr>
          <w:p>
            <w:pPr/>
            <w:r>
              <w:t xml:space="preserve">rusa_nids</w:t>
            </w:r>
          </w:p>
        </w:tc>
        <w:tc>
          <w:tcPr>
            <w:tcW w:w="1587" w:type="dxa"/>
          </w:tcPr>
          <w:p>
            <w:pPr/>
            <w:r>
              <w:t xml:space="preserve">2904</w:t>
            </w:r>
          </w:p>
        </w:tc>
        <w:tc>
          <w:tcPr>
            <w:tcW w:w="2441" w:type="dxa"/>
          </w:tcPr>
          <w:p>
            <w:pPr/>
            <w:r>
              <w:t xml:space="preserve">92</w:t>
            </w:r>
          </w:p>
        </w:tc>
        <w:tc>
          <w:tcPr>
            <w:tcW w:w="1252" w:type="dxa"/>
          </w:tcPr>
          <w:p>
            <w:pPr/>
            <w:r>
              <w:t xml:space="preserve">39.16</w:t>
            </w:r>
          </w:p>
        </w:tc>
      </w:tr>
    </w:tbl>
    <w:p>
      <w:pPr/>
      <w:r>
        <w:rPr>
          <w:b/>
        </w:rPr>
        <w:t xml:space="preserve">Finding:</w:t>
      </w:r>
      <w:r>
        <w:t xml:space="preserve"> the RUSA-NIDS / resource_aware gap reopens under heavy load at a fixed worker count: at offered_load=1.0 (saturation), RUSA-NIDS completes 2904 vs resource_aware's 2827 (dropped_deadline 92 vs 169). Below ~0.71 load they are within noise of each other. The margin tracks </w:t>
      </w:r>
      <w:r>
        <w:rPr>
          <w:i/>
        </w:rPr>
        <w:t xml:space="preserve">congestion</w:t>
      </w:r>
      <w:r>
        <w:t xml:space="preserve">, not worker count per se -- E1 and E2 are measuring the same underlying effect from two angles, which the Methodology tab should say explicitly.</w:t>
      </w:r>
    </w:p>
    <w:p>
      <w:pPr>
        <w:pStyle w:val="Heading2"/>
      </w:pPr>
      <w:r>
        <w:t xml:space="preserve">E4 -- load balance (heterogeneous 8-worker pool)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50"/>
        <w:gridCol w:w="3860"/>
        <w:gridCol w:w="874"/>
        <w:gridCol w:w="874"/>
      </w:tblGrid>
      <w:tr>
        <w:trPr>
          <w:tblHeader/>
        </w:trPr>
        <w:tc>
          <w:tcPr>
            <w:tcW w:w="3750" w:type="dxa"/>
            <w:shd w:val="clear" w:color="auto" w:fill="F2F2F2"/>
          </w:tcPr>
          <w:p>
            <w:pPr/>
            <w:r>
              <w:t xml:space="preserve">policy</w:t>
            </w:r>
          </w:p>
        </w:tc>
        <w:tc>
          <w:tcPr>
            <w:tcW w:w="3860" w:type="dxa"/>
            <w:shd w:val="clear" w:color="auto" w:fill="F2F2F2"/>
          </w:tcPr>
          <w:p>
            <w:pPr/>
            <w:r>
              <w:t xml:space="preserve">CV of per-worker completed</w:t>
            </w:r>
          </w:p>
        </w:tc>
        <w:tc>
          <w:tcPr>
            <w:tcW w:w="874" w:type="dxa"/>
            <w:shd w:val="clear" w:color="auto" w:fill="F2F2F2"/>
          </w:tcPr>
          <w:p>
            <w:pPr/>
            <w:r>
              <w:t xml:space="preserve">min</w:t>
            </w:r>
          </w:p>
        </w:tc>
        <w:tc>
          <w:tcPr>
            <w:tcW w:w="874" w:type="dxa"/>
            <w:shd w:val="clear" w:color="auto" w:fill="F2F2F2"/>
          </w:tcPr>
          <w:p>
            <w:pPr/>
            <w:r>
              <w:t xml:space="preserve">max</w:t>
            </w:r>
          </w:p>
        </w:tc>
      </w:tr>
      <w:tr>
        <w:tc>
          <w:tcPr>
            <w:tcW w:w="3750" w:type="dxa"/>
          </w:tcPr>
          <w:p>
            <w:pPr/>
            <w:r>
              <w:t xml:space="preserve">round_robin</w:t>
            </w:r>
          </w:p>
        </w:tc>
        <w:tc>
          <w:tcPr>
            <w:tcW w:w="3860" w:type="dxa"/>
          </w:tcPr>
          <w:p>
            <w:pPr/>
            <w:r>
              <w:t xml:space="preserve">0.0023</w:t>
            </w:r>
          </w:p>
        </w:tc>
        <w:tc>
          <w:tcPr>
            <w:tcW w:w="874" w:type="dxa"/>
          </w:tcPr>
          <w:p>
            <w:pPr/>
            <w:r>
              <w:t xml:space="preserve">374</w:t>
            </w:r>
          </w:p>
        </w:tc>
        <w:tc>
          <w:tcPr>
            <w:tcW w:w="874" w:type="dxa"/>
          </w:tcPr>
          <w:p>
            <w:pPr/>
            <w:r>
              <w:t xml:space="preserve">376</w:t>
            </w:r>
          </w:p>
        </w:tc>
      </w:tr>
      <w:tr>
        <w:tc>
          <w:tcPr>
            <w:tcW w:w="3750" w:type="dxa"/>
          </w:tcPr>
          <w:p>
            <w:pPr/>
            <w:r>
              <w:t xml:space="preserve">least_loaded / risk_priority</w:t>
            </w:r>
          </w:p>
        </w:tc>
        <w:tc>
          <w:tcPr>
            <w:tcW w:w="3860" w:type="dxa"/>
          </w:tcPr>
          <w:p>
            <w:pPr/>
            <w:r>
              <w:t xml:space="preserve">0.7448</w:t>
            </w:r>
          </w:p>
        </w:tc>
        <w:tc>
          <w:tcPr>
            <w:tcW w:w="874" w:type="dxa"/>
          </w:tcPr>
          <w:p>
            <w:pPr/>
            <w:r>
              <w:t xml:space="preserve">36</w:t>
            </w:r>
          </w:p>
        </w:tc>
        <w:tc>
          <w:tcPr>
            <w:tcW w:w="874" w:type="dxa"/>
          </w:tcPr>
          <w:p>
            <w:pPr/>
            <w:r>
              <w:t xml:space="preserve">785</w:t>
            </w:r>
          </w:p>
        </w:tc>
      </w:tr>
      <w:tr>
        <w:tc>
          <w:tcPr>
            <w:tcW w:w="3750" w:type="dxa"/>
          </w:tcPr>
          <w:p>
            <w:pPr/>
            <w:r>
              <w:t xml:space="preserve">resource_aware</w:t>
            </w:r>
          </w:p>
        </w:tc>
        <w:tc>
          <w:tcPr>
            <w:tcW w:w="3860" w:type="dxa"/>
          </w:tcPr>
          <w:p>
            <w:pPr/>
            <w:r>
              <w:t xml:space="preserve">1.7892</w:t>
            </w:r>
          </w:p>
        </w:tc>
        <w:tc>
          <w:tcPr>
            <w:tcW w:w="874" w:type="dxa"/>
          </w:tcPr>
          <w:p>
            <w:pPr/>
            <w:r>
              <w:t xml:space="preserve">0</w:t>
            </w:r>
          </w:p>
        </w:tc>
        <w:tc>
          <w:tcPr>
            <w:tcW w:w="874" w:type="dxa"/>
          </w:tcPr>
          <w:p>
            <w:pPr/>
            <w:r>
              <w:t xml:space="preserve">1987</w:t>
            </w:r>
          </w:p>
        </w:tc>
      </w:tr>
      <w:tr>
        <w:tc>
          <w:tcPr>
            <w:tcW w:w="3750" w:type="dxa"/>
          </w:tcPr>
          <w:p>
            <w:pPr/>
            <w:r>
              <w:t xml:space="preserve">rusa_nids</w:t>
            </w:r>
          </w:p>
        </w:tc>
        <w:tc>
          <w:tcPr>
            <w:tcW w:w="3860" w:type="dxa"/>
          </w:tcPr>
          <w:p>
            <w:pPr/>
            <w:r>
              <w:t xml:space="preserve">1.6972</w:t>
            </w:r>
          </w:p>
        </w:tc>
        <w:tc>
          <w:tcPr>
            <w:tcW w:w="874" w:type="dxa"/>
          </w:tcPr>
          <w:p>
            <w:pPr/>
            <w:r>
              <w:t xml:space="preserve">0</w:t>
            </w:r>
          </w:p>
        </w:tc>
        <w:tc>
          <w:tcPr>
            <w:tcW w:w="874" w:type="dxa"/>
          </w:tcPr>
          <w:p>
            <w:pPr/>
            <w:r>
              <w:t xml:space="preserve">1809</w:t>
            </w:r>
          </w:p>
        </w:tc>
      </w:tr>
    </w:tbl>
    <w:p>
      <w:pPr/>
      <w:r>
        <w:rPr>
          <w:b/>
        </w:rPr>
        <w:t xml:space="preserve">Finding, previously unflagged:</w:t>
      </w:r>
      <w:r>
        <w:t xml:space="preserve"> RUSA-NIDS has the </w:t>
      </w:r>
      <w:r>
        <w:rPr>
          <w:i/>
        </w:rPr>
        <w:t xml:space="preserve">worst</w:t>
      </w:r>
      <w:r>
        <w:t xml:space="preserve"> load balance of all five policies except resource_aware -- it and resource_aware both concentrate flows on the 1-2 lowest-pressure workers and nearly starve several others. This is a genuine trade-off the paper has not stated anywhere yet: RUSA-NIDS trades load balance for deadline-hit-rate and throughput. Needs a sentence in Discussion, and ideally a fairness-aware variant (DRF/Tetris-style) as future work rather than left implicit.</w:t>
      </w:r>
    </w:p>
    <w:p>
      <w:pPr>
        <w:pStyle w:val="Heading2"/>
      </w:pPr>
      <w:r>
        <w:t xml:space="preserve">E5 -- fault injection (workers=4, w0 killed at flow 500)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9"/>
        <w:gridCol w:w="1931"/>
        <w:gridCol w:w="2647"/>
        <w:gridCol w:w="1651"/>
      </w:tblGrid>
      <w:tr>
        <w:trPr>
          <w:tblHeader/>
        </w:trPr>
        <w:tc>
          <w:tcPr>
            <w:tcW w:w="3129" w:type="dxa"/>
            <w:shd w:val="clear" w:color="auto" w:fill="F2F2F2"/>
          </w:tcPr>
          <w:p>
            <w:pPr/>
            <w:r>
              <w:t xml:space="preserve">policy</w:t>
            </w:r>
          </w:p>
        </w:tc>
        <w:tc>
          <w:tcPr>
            <w:tcW w:w="1931" w:type="dxa"/>
            <w:shd w:val="clear" w:color="auto" w:fill="F2F2F2"/>
          </w:tcPr>
          <w:p>
            <w:pPr/>
            <w:r>
              <w:t xml:space="preserve">completed delta</w:t>
            </w:r>
          </w:p>
        </w:tc>
        <w:tc>
          <w:tcPr>
            <w:tcW w:w="2647" w:type="dxa"/>
            <w:shd w:val="clear" w:color="auto" w:fill="F2F2F2"/>
          </w:tcPr>
          <w:p>
            <w:pPr/>
            <w:r>
              <w:t xml:space="preserve">dropped_deadline delta</w:t>
            </w:r>
          </w:p>
        </w:tc>
        <w:tc>
          <w:tcPr>
            <w:tcW w:w="1651" w:type="dxa"/>
            <w:shd w:val="clear" w:color="auto" w:fill="F2F2F2"/>
          </w:tcPr>
          <w:p>
            <w:pPr/>
            <w:r>
              <w:t xml:space="preserve">p95_ms delta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round_robin</w:t>
            </w:r>
          </w:p>
        </w:tc>
        <w:tc>
          <w:tcPr>
            <w:tcW w:w="1931" w:type="dxa"/>
          </w:tcPr>
          <w:p>
            <w:pPr/>
            <w:r>
              <w:t xml:space="preserve">-95</w:t>
            </w:r>
          </w:p>
        </w:tc>
        <w:tc>
          <w:tcPr>
            <w:tcW w:w="2647" w:type="dxa"/>
          </w:tcPr>
          <w:p>
            <w:pPr/>
            <w:r>
              <w:t xml:space="preserve">+95</w:t>
            </w:r>
          </w:p>
        </w:tc>
        <w:tc>
          <w:tcPr>
            <w:tcW w:w="1651" w:type="dxa"/>
          </w:tcPr>
          <w:p>
            <w:pPr/>
            <w:r>
              <w:t xml:space="preserve">-0.04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least_loaded / risk_priority</w:t>
            </w:r>
          </w:p>
        </w:tc>
        <w:tc>
          <w:tcPr>
            <w:tcW w:w="1931" w:type="dxa"/>
          </w:tcPr>
          <w:p>
            <w:pPr/>
            <w:r>
              <w:t xml:space="preserve">-80</w:t>
            </w:r>
          </w:p>
        </w:tc>
        <w:tc>
          <w:tcPr>
            <w:tcW w:w="2647" w:type="dxa"/>
          </w:tcPr>
          <w:p>
            <w:pPr/>
            <w:r>
              <w:t xml:space="preserve">+78</w:t>
            </w:r>
          </w:p>
        </w:tc>
        <w:tc>
          <w:tcPr>
            <w:tcW w:w="1651" w:type="dxa"/>
          </w:tcPr>
          <w:p>
            <w:pPr/>
            <w:r>
              <w:t xml:space="preserve">-0.97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resource_aware</w:t>
            </w:r>
          </w:p>
        </w:tc>
        <w:tc>
          <w:tcPr>
            <w:tcW w:w="1931" w:type="dxa"/>
          </w:tcPr>
          <w:p>
            <w:pPr/>
            <w:r>
              <w:t xml:space="preserve">-83</w:t>
            </w:r>
          </w:p>
        </w:tc>
        <w:tc>
          <w:tcPr>
            <w:tcW w:w="2647" w:type="dxa"/>
          </w:tcPr>
          <w:p>
            <w:pPr/>
            <w:r>
              <w:t xml:space="preserve">+80</w:t>
            </w:r>
          </w:p>
        </w:tc>
        <w:tc>
          <w:tcPr>
            <w:tcW w:w="1651" w:type="dxa"/>
          </w:tcPr>
          <w:p>
            <w:pPr/>
            <w:r>
              <w:t xml:space="preserve">-0.20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rusa_nids</w:t>
            </w:r>
          </w:p>
        </w:tc>
        <w:tc>
          <w:tcPr>
            <w:tcW w:w="1931" w:type="dxa"/>
          </w:tcPr>
          <w:p>
            <w:pPr/>
            <w:r>
              <w:t xml:space="preserve">-10</w:t>
            </w:r>
          </w:p>
        </w:tc>
        <w:tc>
          <w:tcPr>
            <w:tcW w:w="2647" w:type="dxa"/>
          </w:tcPr>
          <w:p>
            <w:pPr/>
            <w:r>
              <w:t xml:space="preserve">+8</w:t>
            </w:r>
          </w:p>
        </w:tc>
        <w:tc>
          <w:tcPr>
            <w:tcW w:w="1651" w:type="dxa"/>
          </w:tcPr>
          <w:p>
            <w:pPr/>
            <w:r>
              <w:t xml:space="preserve">-0.01</w:t>
            </w:r>
          </w:p>
        </w:tc>
      </w:tr>
    </w:tbl>
    <w:p>
      <w:pPr/>
      <w:r>
        <w:rPr>
          <w:b/>
        </w:rPr>
        <w:t xml:space="preserve">Finding, with a caveat:</w:t>
      </w:r>
      <w:r>
        <w:t xml:space="preserve"> RUSA-NIDS loses far fewer completed flows after w0 is killed than every baseline. But per E4, RUSA-NIDS already routes almost nothing to w0 before the fault -- so this looks like fault </w:t>
      </w:r>
      <w:r>
        <w:rPr>
          <w:i/>
        </w:rPr>
        <w:t xml:space="preserve">tolerance</w:t>
      </w:r>
      <w:r>
        <w:t xml:space="preserve"> but may just be an artifact of the same imbalance E4 flags as a weakness. The paper should not claim a resilience advantage from this result without first controlling for pre-fault load share per worker.</w:t>
      </w:r>
    </w:p>
    <w:p>
      <w:pPr>
        <w:pStyle w:val="Heading2"/>
      </w:pPr>
      <w:r>
        <w:t xml:space="preserve">E6 -- eta (risk x urgency weight) sensitivity (workers=4)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5"/>
        <w:gridCol w:w="2415"/>
        <w:gridCol w:w="3714"/>
        <w:gridCol w:w="1905"/>
      </w:tblGrid>
      <w:tr>
        <w:trPr>
          <w:tblHeader/>
        </w:trPr>
        <w:tc>
          <w:tcPr>
            <w:tcW w:w="1325" w:type="dxa"/>
            <w:shd w:val="clear" w:color="auto" w:fill="F2F2F2"/>
          </w:tcPr>
          <w:p>
            <w:pPr/>
            <w:r>
              <w:t xml:space="preserve">eta</w:t>
            </w:r>
          </w:p>
        </w:tc>
        <w:tc>
          <w:tcPr>
            <w:tcW w:w="2415" w:type="dxa"/>
            <w:shd w:val="clear" w:color="auto" w:fill="F2F2F2"/>
          </w:tcPr>
          <w:p>
            <w:pPr/>
            <w:r>
              <w:t xml:space="preserve">completed</w:t>
            </w:r>
          </w:p>
        </w:tc>
        <w:tc>
          <w:tcPr>
            <w:tcW w:w="3714" w:type="dxa"/>
            <w:shd w:val="clear" w:color="auto" w:fill="F2F2F2"/>
          </w:tcPr>
          <w:p>
            <w:pPr/>
            <w:r>
              <w:t xml:space="preserve">dropped_deadline</w:t>
            </w:r>
          </w:p>
        </w:tc>
        <w:tc>
          <w:tcPr>
            <w:tcW w:w="1905" w:type="dxa"/>
            <w:shd w:val="clear" w:color="auto" w:fill="F2F2F2"/>
          </w:tcPr>
          <w:p>
            <w:pPr/>
            <w:r>
              <w:t xml:space="preserve">p95_ms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0.0</w:t>
            </w:r>
          </w:p>
        </w:tc>
        <w:tc>
          <w:tcPr>
            <w:tcW w:w="2415" w:type="dxa"/>
          </w:tcPr>
          <w:p>
            <w:pPr/>
            <w:r>
              <w:t xml:space="preserve">2998</w:t>
            </w:r>
          </w:p>
        </w:tc>
        <w:tc>
          <w:tcPr>
            <w:tcW w:w="3714" w:type="dxa"/>
          </w:tcPr>
          <w:p>
            <w:pPr/>
            <w:r>
              <w:t xml:space="preserve">1</w:t>
            </w:r>
          </w:p>
        </w:tc>
        <w:tc>
          <w:tcPr>
            <w:tcW w:w="1905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0.5</w:t>
            </w:r>
          </w:p>
        </w:tc>
        <w:tc>
          <w:tcPr>
            <w:tcW w:w="2415" w:type="dxa"/>
          </w:tcPr>
          <w:p>
            <w:pPr/>
            <w:r>
              <w:t xml:space="preserve">2998</w:t>
            </w:r>
          </w:p>
        </w:tc>
        <w:tc>
          <w:tcPr>
            <w:tcW w:w="3714" w:type="dxa"/>
          </w:tcPr>
          <w:p>
            <w:pPr/>
            <w:r>
              <w:t xml:space="preserve">1</w:t>
            </w:r>
          </w:p>
        </w:tc>
        <w:tc>
          <w:tcPr>
            <w:tcW w:w="1905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1.0</w:t>
            </w:r>
          </w:p>
        </w:tc>
        <w:tc>
          <w:tcPr>
            <w:tcW w:w="2415" w:type="dxa"/>
          </w:tcPr>
          <w:p>
            <w:pPr/>
            <w:r>
              <w:t xml:space="preserve">2998</w:t>
            </w:r>
          </w:p>
        </w:tc>
        <w:tc>
          <w:tcPr>
            <w:tcW w:w="3714" w:type="dxa"/>
          </w:tcPr>
          <w:p>
            <w:pPr/>
            <w:r>
              <w:t xml:space="preserve">1</w:t>
            </w:r>
          </w:p>
        </w:tc>
        <w:tc>
          <w:tcPr>
            <w:tcW w:w="1905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1.5</w:t>
            </w:r>
          </w:p>
        </w:tc>
        <w:tc>
          <w:tcPr>
            <w:tcW w:w="2415" w:type="dxa"/>
          </w:tcPr>
          <w:p>
            <w:pPr/>
            <w:r>
              <w:t xml:space="preserve">2998</w:t>
            </w:r>
          </w:p>
        </w:tc>
        <w:tc>
          <w:tcPr>
            <w:tcW w:w="3714" w:type="dxa"/>
          </w:tcPr>
          <w:p>
            <w:pPr/>
            <w:r>
              <w:t xml:space="preserve">1</w:t>
            </w:r>
          </w:p>
        </w:tc>
        <w:tc>
          <w:tcPr>
            <w:tcW w:w="1905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2.0</w:t>
            </w:r>
          </w:p>
        </w:tc>
        <w:tc>
          <w:tcPr>
            <w:tcW w:w="2415" w:type="dxa"/>
          </w:tcPr>
          <w:p>
            <w:pPr/>
            <w:r>
              <w:t xml:space="preserve">2998</w:t>
            </w:r>
          </w:p>
        </w:tc>
        <w:tc>
          <w:tcPr>
            <w:tcW w:w="3714" w:type="dxa"/>
          </w:tcPr>
          <w:p>
            <w:pPr/>
            <w:r>
              <w:t xml:space="preserve">1</w:t>
            </w:r>
          </w:p>
        </w:tc>
        <w:tc>
          <w:tcPr>
            <w:tcW w:w="1905" w:type="dxa"/>
          </w:tcPr>
          <w:p>
            <w:pPr/>
            <w:r>
              <w:t xml:space="preserve">38.70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3.0</w:t>
            </w:r>
          </w:p>
        </w:tc>
        <w:tc>
          <w:tcPr>
            <w:tcW w:w="2415" w:type="dxa"/>
          </w:tcPr>
          <w:p>
            <w:pPr/>
            <w:r>
              <w:t xml:space="preserve">2998</w:t>
            </w:r>
          </w:p>
        </w:tc>
        <w:tc>
          <w:tcPr>
            <w:tcW w:w="3714" w:type="dxa"/>
          </w:tcPr>
          <w:p>
            <w:pPr/>
            <w:r>
              <w:t xml:space="preserve">1</w:t>
            </w:r>
          </w:p>
        </w:tc>
        <w:tc>
          <w:tcPr>
            <w:tcW w:w="1905" w:type="dxa"/>
          </w:tcPr>
          <w:p>
            <w:pPr/>
            <w:r>
              <w:t xml:space="preserve">38.70</w:t>
            </w:r>
          </w:p>
        </w:tc>
      </w:tr>
    </w:tbl>
    <w:p>
      <w:pPr/>
      <w:r>
        <w:rPr>
          <w:b/>
        </w:rPr>
        <w:t xml:space="preserve">Finding (superseded below):</w:t>
      </w:r>
      <w:r>
        <w:t xml:space="preserve"> completed/dropped_deadline/p95 were byte-identical across eta in {0.0 .. 3.0} with the original scorer. Re-tested with </w:t>
      </w:r>
      <w:r>
        <w:rPr>
          <w:rStyle w:val="CodeChar"/>
        </w:rPr>
        <w:t xml:space="preserve">urgency_slack_s</w:t>
      </w:r>
      <w:r>
        <w:t xml:space="preserve"> swept from 0.01s to 2.0s x eta from 0 to 1000 -- still flat up to eta~50, only starting to move at eta~100-200. The cause was not slack tuning; it was a units mismatch in the scoring function itself (see below).</w:t>
      </w:r>
    </w:p>
    <w:p>
      <w:pPr>
        <w:pStyle w:val="Heading2"/>
      </w:pPr>
      <w:r>
        <w:t xml:space="preserve">Root cause and fix: eta was structurally inert, not just under-correlated</w:t>
      </w:r>
    </w:p>
    <w:p>
      <w:pPr/>
      <w:r>
        <w:t xml:space="preserve">Instrumenting the scorer directly showed why: </w:t>
      </w:r>
      <w:r>
        <w:rPr>
          <w:rStyle w:val="CodeChar"/>
        </w:rPr>
        <w:t xml:space="preserve">q_hat</w:t>
      </w:r>
      <w:r>
        <w:t xml:space="preserve">/</w:t>
      </w:r>
      <w:r>
        <w:rPr>
          <w:rStyle w:val="CodeChar"/>
        </w:rPr>
        <w:t xml:space="preserve">e_hat</w:t>
      </w:r>
      <w:r>
        <w:t xml:space="preserve">/</w:t>
      </w:r>
      <w:r>
        <w:rPr>
          <w:rStyle w:val="CodeChar"/>
        </w:rPr>
        <w:t xml:space="preserve">v_hat</w:t>
      </w:r>
      <w:r>
        <w:t xml:space="preserve"> are each min-max normalized to [0, 1] and summed with weights of order 1 (alpha+beta+gamma+delta ~= 3), but the eta term was the raw product </w:t>
      </w:r>
      <w:r>
        <w:rPr>
          <w:rStyle w:val="CodeChar"/>
        </w:rPr>
        <w:t xml:space="preserve">r_i * g(...)</w:t>
      </w:r>
      <w:r>
        <w:t xml:space="preserve">, itself bounded in [0, 1] and then multiplied by eta. With only 2-4 feasible candidates, min-max normalization of the other three terms routinely produces gaps of 0.6-1.9 between candidates -- </w:t>
      </w:r>
      <w:r>
        <w:rPr>
          <w:rStyle w:val="CodeChar"/>
        </w:rPr>
        <w:t xml:space="preserve">eta</w:t>
      </w:r>
      <w:r>
        <w:t xml:space="preserve"> had to exceed ~100-200 before </w:t>
      </w:r>
      <w:r>
        <w:rPr>
          <w:rStyle w:val="CodeChar"/>
        </w:rPr>
        <w:t xml:space="preserve">eta * r_i * g(...)</w:t>
      </w:r>
      <w:r>
        <w:t xml:space="preserve"> could ever be large enough to flip an argmin decision. The paper's stated default of 1.5 was two orders of magnitude too small to ever matter; every E1/E2/E6 number reported above (and in the Experimental Design tab, before this fix) was measuring a scorer that, in effect, ignored risk and urgency entirely.</w:t>
      </w:r>
    </w:p>
    <w:p>
      <w:pPr/>
      <w:r>
        <w:rPr>
          <w:b/>
        </w:rPr>
        <w:t xml:space="preserve">Fix applied to </w:t>
      </w:r>
      <w:r>
        <w:rPr>
          <w:rStyle w:val="CodeChar"/>
          <w:b/>
        </w:rPr>
        <w:t xml:space="preserve">rusa_nids/schedulers/rusa.py</w:t>
      </w:r>
      <w:r>
        <w:rPr>
          <w:b/>
        </w:rPr>
        <w:t xml:space="preserve">:</w:t>
      </w:r>
      <w:r>
        <w:t xml:space="preserve"> min-max normalize </w:t>
      </w:r>
      <w:r>
        <w:rPr>
          <w:rStyle w:val="CodeChar"/>
        </w:rPr>
        <w:t xml:space="preserve">r_i * g(...)</w:t>
      </w:r>
      <w:r>
        <w:t xml:space="preserve"> across the same feasible-candidate set as the other three terms (call it </w:t>
      </w:r>
      <w:r>
        <w:rPr>
          <w:rStyle w:val="CodeChar"/>
        </w:rPr>
        <w:t xml:space="preserve">ru_hat</w:t>
      </w:r>
      <w:r>
        <w:t xml:space="preserve">), so eta competes on the same scale as alpha/beta/gamma/delta. This is a renormalization, not a reweighting -- it does not change what "high risk" or "high urgency" means, only how that signal competes against resource/queue signals in the argmin. </w:t>
      </w:r>
      <w:r>
        <w:rPr>
          <w:rStyle w:val="CodeChar"/>
        </w:rPr>
        <w:t xml:space="preserve">RusaWeights(legacy_unnormalized_eta=True)</w:t>
      </w:r>
      <w:r>
        <w:t xml:space="preserve"> reproduces the original (inert) behavior for traceability.</w:t>
      </w:r>
    </w:p>
    <w:p>
      <w:pPr/>
      <w:r>
        <w:rPr>
          <w:b/>
        </w:rPr>
        <w:t xml:space="preserve">Confirmed the fix has a real effect</w:t>
      </w:r>
      <w:r>
        <w:t xml:space="preserve"> (workers=2, same seed/workload):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04"/>
        <w:gridCol w:w="1597"/>
        <w:gridCol w:w="2457"/>
      </w:tblGrid>
      <w:tr>
        <w:trPr>
          <w:tblHeader/>
        </w:trPr>
        <w:tc>
          <w:tcPr>
            <w:tcW w:w="5304" w:type="dxa"/>
            <w:shd w:val="clear" w:color="auto" w:fill="F2F2F2"/>
          </w:tcPr>
          <w:p>
            <w:pPr/>
            <w:r>
              <w:t xml:space="preserve">eta</w:t>
            </w:r>
          </w:p>
        </w:tc>
        <w:tc>
          <w:tcPr>
            <w:tcW w:w="1597" w:type="dxa"/>
            <w:shd w:val="clear" w:color="auto" w:fill="F2F2F2"/>
          </w:tcPr>
          <w:p>
            <w:pPr/>
            <w:r>
              <w:t xml:space="preserve">completed</w:t>
            </w:r>
          </w:p>
        </w:tc>
        <w:tc>
          <w:tcPr>
            <w:tcW w:w="2457" w:type="dxa"/>
            <w:shd w:val="clear" w:color="auto" w:fill="F2F2F2"/>
          </w:tcPr>
          <w:p>
            <w:pPr/>
            <w:r>
              <w:t xml:space="preserve">dropped_deadline</w:t>
            </w:r>
          </w:p>
        </w:tc>
      </w:tr>
      <w:tr>
        <w:tc>
          <w:tcPr>
            <w:tcW w:w="5304" w:type="dxa"/>
          </w:tcPr>
          <w:p>
            <w:pPr/>
            <w:r>
              <w:t xml:space="preserve">0.0</w:t>
            </w:r>
          </w:p>
        </w:tc>
        <w:tc>
          <w:tcPr>
            <w:tcW w:w="1597" w:type="dxa"/>
          </w:tcPr>
          <w:p>
            <w:pPr/>
            <w:r>
              <w:t xml:space="preserve">2346</w:t>
            </w:r>
          </w:p>
        </w:tc>
        <w:tc>
          <w:tcPr>
            <w:tcW w:w="2457" w:type="dxa"/>
          </w:tcPr>
          <w:p>
            <w:pPr/>
            <w:r>
              <w:t xml:space="preserve">639</w:t>
            </w:r>
          </w:p>
        </w:tc>
      </w:tr>
      <w:tr>
        <w:tc>
          <w:tcPr>
            <w:tcW w:w="5304" w:type="dxa"/>
          </w:tcPr>
          <w:p>
            <w:pPr/>
            <w:r>
              <w:t xml:space="preserve">0.75 -- 1.5 (incl. paper's stated default)</w:t>
            </w:r>
          </w:p>
        </w:tc>
        <w:tc>
          <w:tcPr>
            <w:tcW w:w="1597" w:type="dxa"/>
          </w:tcPr>
          <w:p>
            <w:pPr/>
            <w:r>
              <w:t xml:space="preserve">2318</w:t>
            </w:r>
          </w:p>
        </w:tc>
        <w:tc>
          <w:tcPr>
            <w:tcW w:w="2457" w:type="dxa"/>
          </w:tcPr>
          <w:p>
            <w:pPr/>
            <w:r>
              <w:t xml:space="preserve">664</w:t>
            </w:r>
          </w:p>
        </w:tc>
      </w:tr>
      <w:tr>
        <w:tc>
          <w:tcPr>
            <w:tcW w:w="5304" w:type="dxa"/>
          </w:tcPr>
          <w:p>
            <w:pPr/>
            <w:r>
              <w:t xml:space="preserve">1.75 -- 2.5</w:t>
            </w:r>
          </w:p>
        </w:tc>
        <w:tc>
          <w:tcPr>
            <w:tcW w:w="1597" w:type="dxa"/>
          </w:tcPr>
          <w:p>
            <w:pPr/>
            <w:r>
              <w:t xml:space="preserve">2385</w:t>
            </w:r>
          </w:p>
        </w:tc>
        <w:tc>
          <w:tcPr>
            <w:tcW w:w="2457" w:type="dxa"/>
          </w:tcPr>
          <w:p>
            <w:pPr/>
            <w:r>
              <w:t xml:space="preserve">603</w:t>
            </w:r>
          </w:p>
        </w:tc>
      </w:tr>
      <w:tr>
        <w:tc>
          <w:tcPr>
            <w:tcW w:w="5304" w:type="dxa"/>
          </w:tcPr>
          <w:p>
            <w:pPr/>
            <w:r>
              <w:t xml:space="preserve">3.0+</w:t>
            </w:r>
          </w:p>
        </w:tc>
        <w:tc>
          <w:tcPr>
            <w:tcW w:w="1597" w:type="dxa"/>
          </w:tcPr>
          <w:p>
            <w:pPr/>
            <w:r>
              <w:t xml:space="preserve">2220</w:t>
            </w:r>
          </w:p>
        </w:tc>
        <w:tc>
          <w:tcPr>
            <w:tcW w:w="2457" w:type="dxa"/>
          </w:tcPr>
          <w:p>
            <w:pPr/>
            <w:r>
              <w:t xml:space="preserve">764</w:t>
            </w:r>
          </w:p>
        </w:tc>
      </w:tr>
    </w:tbl>
    <w:p>
      <w:pPr/>
      <w:r>
        <w:rPr>
          <w:b/>
        </w:rPr>
        <w:t xml:space="preserve">This is not good news by itself:</w:t>
      </w:r>
      <w:r>
        <w:t xml:space="preserve"> at the paper's stated default (</w:t>
      </w:r>
      <w:r>
        <w:rPr>
          <w:rStyle w:val="CodeChar"/>
        </w:rPr>
        <w:t xml:space="preserve">eta=1.5</w:t>
      </w:r>
      <w:r>
        <w:t xml:space="preserve">), the </w:t>
      </w:r>
      <w:r>
        <w:rPr>
          <w:i/>
        </w:rPr>
        <w:t xml:space="preserve">fixed</w:t>
      </w:r>
      <w:r>
        <w:t xml:space="preserve"> scorer now performs slightly </w:t>
      </w:r>
      <w:r>
        <w:rPr>
          <w:i/>
        </w:rPr>
        <w:t xml:space="preserve">worse</w:t>
      </w:r>
      <w:r>
        <w:t xml:space="preserve"> than </w:t>
      </w:r>
      <w:r>
        <w:rPr>
          <w:rStyle w:val="CodeChar"/>
        </w:rPr>
        <w:t xml:space="preserve">eta=0</w:t>
      </w:r>
      <w:r>
        <w:t xml:space="preserve"> (2318 vs 2346 completed) in this regime -- the term is no longer inert, but it is also not yet calibrated, and a single-seed grid search is not a calibration. </w:t>
      </w:r>
      <w:r>
        <w:rPr>
          <w:rStyle w:val="CodeChar"/>
        </w:rPr>
        <w:t xml:space="preserve">eta</w:t>
      </w:r>
      <w:r>
        <w:t xml:space="preserve"> in [1.75, 2.5] does beat </w:t>
      </w:r>
      <w:r>
        <w:rPr>
          <w:rStyle w:val="CodeChar"/>
        </w:rPr>
        <w:t xml:space="preserve">eta=0</w:t>
      </w:r>
      <w:r>
        <w:t xml:space="preserve"> here, modestly. Section 5.1 already commits to calibrating </w:t>
      </w:r>
      <w:r>
        <w:rPr>
          <w:rStyle w:val="CodeChar"/>
        </w:rPr>
        <w:t xml:space="preserve">RusaWeights</w:t>
      </w:r>
      <w:r>
        <w:t xml:space="preserve"> offline on a train/validation split before reporting final numbers; that commitment now has teeth it didn't have before this fix, because before the fix no value of </w:t>
      </w:r>
      <w:r>
        <w:rPr>
          <w:rStyle w:val="CodeChar"/>
        </w:rPr>
        <w:t xml:space="preserve">eta</w:t>
      </w:r>
      <w:r>
        <w:t xml:space="preserve"> up to 50 changed the outcome at all, so there was nothing to calibrate against.</w:t>
      </w:r>
    </w:p>
    <w:p>
      <w:pPr/>
      <w:r>
        <w:rPr>
          <w:b/>
        </w:rPr>
        <w:t xml:space="preserve">Action before any further E1/E2/E6 run:</w:t>
      </w:r>
      <w:r>
        <w:t xml:space="preserve"> re-run the full E1/E2/E4/E5/E6 battery with the fixed scorer (the numbers in this tab's E1/E2 sections above still reflect the </w:t>
      </w:r>
      <w:r>
        <w:rPr>
          <w:i/>
        </w:rPr>
        <w:t xml:space="preserve">pre-fix</w:t>
      </w:r>
      <w:r>
        <w:t xml:space="preserve">, inert-eta scorer, since they were produced earlier the same day) and recalibrate </w:t>
      </w:r>
      <w:r>
        <w:rPr>
          <w:rStyle w:val="CodeChar"/>
        </w:rPr>
        <w:t xml:space="preserve">eta</w:t>
      </w:r>
      <w:r>
        <w:t xml:space="preserve"> -- and, separately, </w:t>
      </w:r>
      <w:r>
        <w:rPr>
          <w:rStyle w:val="CodeChar"/>
        </w:rPr>
        <w:t xml:space="preserve">urgency_slack_s</w:t>
      </w:r>
      <w:r>
        <w:t xml:space="preserve">, which was never the actual bottleneck but still has not been tuned -- on a held-out split once real CICIDS2017/CSE-CIC-IDS2018 traffic is available.</w:t>
      </w:r>
    </w:p>
    <w:p>
      <w:pPr>
        <w:pStyle w:val="Heading2"/>
      </w:pPr>
      <w:r>
        <w:t xml:space="preserve">What this changes in the paper</w:t>
      </w:r>
    </w:p>
    <w:p>
      <w:pPr>
        <w:pStyle w:val="ListParagraph"/>
        <w:numPr>
          <w:ilvl w:val="0"/>
          <w:numId w:val="2"/>
        </w:numPr>
      </w:pPr>
      <w:r>
        <w:t xml:space="preserve">Methodology 5.2 should state the measured break point (workers=2 / offered_load&gt;=1.0) instead of leaving the margin's location unquantified.</w:t>
      </w:r>
    </w:p>
    <w:p>
      <w:pPr>
        <w:pStyle w:val="ListParagraph"/>
        <w:numPr>
          <w:ilvl w:val="0"/>
          <w:numId w:val="2"/>
        </w:numPr>
      </w:pPr>
      <w:r>
        <w:t xml:space="preserve">Experimental Design's E6 section should report the eta-sensitivity result above as a concrete finding, not a planned test.</w:t>
      </w:r>
    </w:p>
    <w:p>
      <w:pPr>
        <w:pStyle w:val="ListParagraph"/>
        <w:numPr>
          <w:ilvl w:val="0"/>
          <w:numId w:val="2"/>
        </w:numPr>
      </w:pPr>
      <w:r>
        <w:t xml:space="preserve">Discussion (not yet drafted) needs a load-balance-vs-performance trade-off paragraph driven by E4, and a disclaimer on the E5 fault-tolerance reading.</w:t>
      </w:r>
    </w:p>
    <w:p>
      <w:pPr>
        <w:pStyle w:val="ListParagraph"/>
        <w:numPr>
          <w:ilvl w:val="0"/>
          <w:numId w:val="2"/>
        </w:numPr>
      </w:pPr>
      <w:r>
        <w:t xml:space="preserve">None of this is from CICIDS2017/CSE-CIC-IDS2018. It is the synthetic-simulator run that validates the harness end-to-end and tells us which mechanisms are even capable of producing a measurable effect before spending time on real-data ingestion.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Preliminary Results (Synthetic Simulator)</dc:title>
  <dc:description>Claude Docs node/c4f2387b-a478@10 docx-w7</dc:description>
  <cp:revision>10</cp:revision>
</cp:coreProperties>
</file>