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79"/>
        <w:spacing w:after="0" w:before="6000"/>
        <w:ind w:hanging="0" w:left="3168" w:right="0"/>
      </w:pPr>
      <w:r>
        <w:rPr/>
        <w:t xml:space="preserve">Single Family Rental CMBS Evaluation </w:t>
      </w:r>
    </w:p>
    <w:p>
      <w:pPr>
        <w:pStyle w:val="style78"/>
      </w:pPr>
      <w:r>
        <w:rPr/>
        <w:t>Peter Goldthorp</w:t>
      </w:r>
    </w:p>
    <w:p>
      <w:pPr>
        <w:sectPr>
          <w:headerReference r:id="rId2" w:type="first"/>
          <w:type w:val="nextPage"/>
          <w:pgSz w:h="15840" w:w="12240"/>
          <w:pgMar w:bottom="720" w:footer="0" w:gutter="0" w:header="720" w:left="720" w:right="720" w:top="777"/>
          <w:pgNumType w:fmt="decimal"/>
          <w:formProt w:val="false"/>
          <w:titlePg/>
          <w:textDirection w:val="lrTb"/>
          <w:docGrid w:charSpace="2047" w:linePitch="360" w:type="default"/>
        </w:sectPr>
        <w:pStyle w:val="style72"/>
      </w:pPr>
      <w:r>
        <w:rPr/>
        <w:t>January 2014</w:t>
      </w:r>
    </w:p>
    <w:p>
      <w:pPr>
        <w:sectPr>
          <w:footerReference r:id="rId3" w:type="default"/>
          <w:type w:val="nextPage"/>
          <w:pgSz w:h="15840" w:w="12240"/>
          <w:pgMar w:bottom="777" w:footer="720" w:gutter="0" w:header="0" w:left="720" w:right="720" w:top="720"/>
          <w:pgNumType w:fmt="decimal"/>
          <w:formProt w:val="false"/>
          <w:textDirection w:val="lrTb"/>
          <w:docGrid w:charSpace="2047" w:linePitch="360" w:type="default"/>
        </w:sectPr>
        <w:pStyle w:val="style1"/>
      </w:pPr>
      <w:r>
        <w:rPr/>
        <w:t>Executive Overview</w:t>
      </w:r>
    </w:p>
    <w:p>
      <w:pPr>
        <w:pStyle w:val="style1"/>
      </w:pPr>
      <w:bookmarkStart w:id="0" w:name="_GoBack"/>
      <w:bookmarkEnd w:id="0"/>
      <w:r>
        <w:rPr/>
        <w:t>Introduction</w:t>
      </w:r>
    </w:p>
    <w:p>
      <w:pPr>
        <w:pStyle w:val="style0"/>
      </w:pPr>
      <w:r>
        <w:rPr/>
        <w:t xml:space="preserve">Sustainable net cash flow </w:t>
      </w:r>
    </w:p>
    <w:p>
      <w:pPr>
        <w:pStyle w:val="style0"/>
      </w:pPr>
      <w:r>
        <w:rPr/>
        <w:t xml:space="preserve">Direct capitalization </w:t>
      </w:r>
    </w:p>
    <w:p>
      <w:pPr>
        <w:pStyle w:val="style0"/>
      </w:pPr>
      <w:r>
        <w:rPr/>
        <w:t>Property score 1 – 5</w:t>
      </w:r>
    </w:p>
    <w:p>
      <w:pPr>
        <w:pStyle w:val="style0"/>
      </w:pPr>
      <w:r>
        <w:rPr/>
        <w:t xml:space="preserve">Scenario adjusted </w:t>
      </w:r>
    </w:p>
    <w:p>
      <w:pPr>
        <w:pStyle w:val="style0"/>
        <w:ind w:firstLine="720" w:left="0" w:right="0"/>
      </w:pPr>
      <w:r>
        <w:rPr/>
        <w:t xml:space="preserve">net cash flow </w:t>
      </w:r>
    </w:p>
    <w:p>
      <w:pPr>
        <w:pStyle w:val="style0"/>
        <w:ind w:firstLine="720" w:left="0" w:right="0"/>
      </w:pPr>
      <w:r>
        <w:rPr/>
        <w:t>debt service coverage</w:t>
      </w:r>
    </w:p>
    <w:p>
      <w:pPr>
        <w:pStyle w:val="style0"/>
        <w:ind w:firstLine="720" w:left="0" w:right="0"/>
      </w:pPr>
      <w:r>
        <w:rPr/>
        <w:t>LTV</w:t>
      </w:r>
    </w:p>
    <w:p>
      <w:pPr>
        <w:pStyle w:val="style0"/>
      </w:pPr>
      <w:r>
        <w:rPr/>
        <w:t>Default Probability</w:t>
      </w:r>
    </w:p>
    <w:p>
      <w:pPr>
        <w:pStyle w:val="style0"/>
      </w:pPr>
      <w:r>
        <w:rPr/>
        <w:tab/>
        <w:t>Term</w:t>
      </w:r>
    </w:p>
    <w:p>
      <w:pPr>
        <w:pStyle w:val="style0"/>
      </w:pPr>
      <w:r>
        <w:rPr/>
        <w:tab/>
        <w:t>Maturity</w:t>
      </w:r>
    </w:p>
    <w:p>
      <w:pPr>
        <w:pStyle w:val="style0"/>
      </w:pPr>
      <w:r>
        <w:rPr/>
        <w:t>Loss given Default</w:t>
      </w:r>
    </w:p>
    <w:p>
      <w:pPr>
        <w:pStyle w:val="style0"/>
      </w:pPr>
      <w:r>
        <w:rPr/>
        <w:t>Expected Loss</w:t>
      </w:r>
    </w:p>
    <w:p>
      <w:pPr>
        <w:pStyle w:val="style0"/>
      </w:pPr>
      <w:r>
        <w:rPr/>
      </w:r>
    </w:p>
    <w:p>
      <w:pPr>
        <w:pStyle w:val="style0"/>
      </w:pPr>
      <w:r>
        <w:rPr/>
        <w:t>Market Rent Stress</w:t>
      </w:r>
    </w:p>
    <w:p>
      <w:pPr>
        <w:pStyle w:val="style0"/>
      </w:pPr>
      <w:r>
        <w:rPr/>
        <w:t>Occupancy Stress</w:t>
      </w:r>
    </w:p>
    <w:p>
      <w:pPr>
        <w:pStyle w:val="style62"/>
      </w:pPr>
      <w:r>
        <w:rPr>
          <w:b/>
          <w:bCs/>
        </w:rPr>
        <w:t xml:space="preserve">Explain why Single family rental properties are not like multi family investments.  Large number of properties, dispersed locations, </w:t>
      </w:r>
    </w:p>
    <w:p>
      <w:pPr>
        <w:pStyle w:val="style62"/>
        <w:numPr>
          <w:ilvl w:val="0"/>
          <w:numId w:val="2"/>
        </w:numPr>
      </w:pPr>
      <w:r>
        <w:rPr>
          <w:b/>
          <w:bCs/>
        </w:rPr>
        <w:t>Operational Challenges</w:t>
      </w:r>
    </w:p>
    <w:p>
      <w:pPr>
        <w:pStyle w:val="style62"/>
        <w:numPr>
          <w:ilvl w:val="1"/>
          <w:numId w:val="2"/>
        </w:numPr>
      </w:pPr>
      <w:r>
        <w:rPr>
          <w:b/>
          <w:bCs/>
        </w:rPr>
        <w:t>Volume and location</w:t>
      </w:r>
    </w:p>
    <w:p>
      <w:pPr>
        <w:pStyle w:val="style62"/>
        <w:numPr>
          <w:ilvl w:val="2"/>
          <w:numId w:val="2"/>
        </w:numPr>
      </w:pPr>
      <w:r>
        <w:rPr>
          <w:b/>
          <w:bCs/>
        </w:rPr>
        <w:t>Micro vs Macro</w:t>
      </w:r>
    </w:p>
    <w:p>
      <w:pPr>
        <w:pStyle w:val="style62"/>
        <w:numPr>
          <w:ilvl w:val="1"/>
          <w:numId w:val="2"/>
        </w:numPr>
      </w:pPr>
      <w:r>
        <w:rPr>
          <w:b/>
          <w:bCs/>
        </w:rPr>
        <w:t>Stabilization</w:t>
      </w:r>
    </w:p>
    <w:p>
      <w:pPr>
        <w:pStyle w:val="style62"/>
        <w:numPr>
          <w:ilvl w:val="2"/>
          <w:numId w:val="2"/>
        </w:numPr>
      </w:pPr>
      <w:r>
        <w:rPr>
          <w:b/>
          <w:bCs/>
        </w:rPr>
        <w:t xml:space="preserve">Contractor backlog </w:t>
      </w:r>
    </w:p>
    <w:p>
      <w:pPr>
        <w:pStyle w:val="style62"/>
        <w:numPr>
          <w:ilvl w:val="2"/>
          <w:numId w:val="2"/>
        </w:numPr>
      </w:pPr>
      <w:r>
        <w:rPr>
          <w:b/>
          <w:bCs/>
        </w:rPr>
        <w:t>Quality and cost control</w:t>
      </w:r>
    </w:p>
    <w:p>
      <w:pPr>
        <w:pStyle w:val="style62"/>
        <w:numPr>
          <w:ilvl w:val="1"/>
          <w:numId w:val="2"/>
        </w:numPr>
      </w:pPr>
      <w:r>
        <w:rPr>
          <w:b/>
          <w:bCs/>
        </w:rPr>
        <w:t>Property Management</w:t>
      </w:r>
    </w:p>
    <w:p>
      <w:pPr>
        <w:pStyle w:val="style62"/>
        <w:numPr>
          <w:ilvl w:val="2"/>
          <w:numId w:val="2"/>
        </w:numPr>
      </w:pPr>
      <w:r>
        <w:rPr>
          <w:b/>
          <w:bCs/>
        </w:rPr>
        <w:t>Tenants</w:t>
      </w:r>
    </w:p>
    <w:p>
      <w:pPr>
        <w:pStyle w:val="style62"/>
        <w:numPr>
          <w:ilvl w:val="2"/>
          <w:numId w:val="2"/>
        </w:numPr>
      </w:pPr>
      <w:r>
        <w:rPr>
          <w:b/>
          <w:bCs/>
        </w:rPr>
        <w:t>Buildings</w:t>
      </w:r>
    </w:p>
    <w:p>
      <w:pPr>
        <w:pStyle w:val="style62"/>
        <w:numPr>
          <w:ilvl w:val="2"/>
          <w:numId w:val="2"/>
        </w:numPr>
      </w:pPr>
      <w:r>
        <w:rPr>
          <w:b/>
          <w:bCs/>
        </w:rPr>
        <w:t>Legal</w:t>
      </w:r>
    </w:p>
    <w:p>
      <w:pPr>
        <w:pStyle w:val="style62"/>
        <w:numPr>
          <w:ilvl w:val="0"/>
          <w:numId w:val="2"/>
        </w:numPr>
      </w:pPr>
      <w:r>
        <w:rPr>
          <w:b/>
          <w:bCs/>
        </w:rPr>
        <w:t>Asset Management</w:t>
      </w:r>
    </w:p>
    <w:p>
      <w:pPr>
        <w:pStyle w:val="style62"/>
        <w:numPr>
          <w:ilvl w:val="1"/>
          <w:numId w:val="2"/>
        </w:numPr>
      </w:pPr>
      <w:r>
        <w:rPr>
          <w:b/>
          <w:bCs/>
        </w:rPr>
        <w:t>Highest and Best Use</w:t>
      </w:r>
    </w:p>
    <w:p>
      <w:pPr>
        <w:pStyle w:val="style62"/>
        <w:numPr>
          <w:ilvl w:val="2"/>
          <w:numId w:val="2"/>
        </w:numPr>
      </w:pPr>
      <w:r>
        <w:rPr>
          <w:b/>
          <w:bCs/>
        </w:rPr>
        <w:t>Income vs market value</w:t>
      </w:r>
    </w:p>
    <w:p>
      <w:pPr>
        <w:pStyle w:val="style62"/>
        <w:numPr>
          <w:ilvl w:val="1"/>
          <w:numId w:val="2"/>
        </w:numPr>
      </w:pPr>
      <w:r>
        <w:rPr>
          <w:b/>
          <w:bCs/>
        </w:rPr>
        <w:t>Quality vs Yield</w:t>
      </w:r>
    </w:p>
    <w:p>
      <w:pPr>
        <w:pStyle w:val="style62"/>
        <w:numPr>
          <w:ilvl w:val="1"/>
          <w:numId w:val="2"/>
        </w:numPr>
      </w:pPr>
      <w:r>
        <w:rPr>
          <w:b/>
          <w:bCs/>
        </w:rPr>
        <w:t>Spotting deferred maintenance</w:t>
      </w:r>
    </w:p>
    <w:p>
      <w:pPr>
        <w:pStyle w:val="style62"/>
        <w:numPr>
          <w:ilvl w:val="1"/>
          <w:numId w:val="2"/>
        </w:numPr>
      </w:pPr>
      <w:r>
        <w:rPr>
          <w:b/>
          <w:bCs/>
        </w:rPr>
        <w:t>Disposition and replacement</w:t>
      </w:r>
    </w:p>
    <w:p>
      <w:pPr>
        <w:pStyle w:val="style62"/>
        <w:numPr>
          <w:ilvl w:val="0"/>
          <w:numId w:val="2"/>
        </w:numPr>
      </w:pPr>
      <w:r>
        <w:rPr>
          <w:b/>
          <w:bCs/>
        </w:rPr>
        <w:t>Securitization</w:t>
      </w:r>
    </w:p>
    <w:p>
      <w:pPr>
        <w:pStyle w:val="style62"/>
        <w:numPr>
          <w:ilvl w:val="1"/>
          <w:numId w:val="2"/>
        </w:numPr>
      </w:pPr>
      <w:r>
        <w:rPr>
          <w:b/>
          <w:bCs/>
        </w:rPr>
        <w:t>What is being securitized?</w:t>
      </w:r>
    </w:p>
    <w:p>
      <w:pPr>
        <w:pStyle w:val="style62"/>
        <w:numPr>
          <w:ilvl w:val="2"/>
          <w:numId w:val="2"/>
        </w:numPr>
      </w:pPr>
      <w:r>
        <w:rPr>
          <w:b/>
          <w:bCs/>
        </w:rPr>
        <w:t>Mortgage or income stream</w:t>
      </w:r>
    </w:p>
    <w:p>
      <w:pPr>
        <w:pStyle w:val="style62"/>
        <w:numPr>
          <w:ilvl w:val="2"/>
          <w:numId w:val="2"/>
        </w:numPr>
      </w:pPr>
      <w:r>
        <w:rPr>
          <w:b/>
          <w:bCs/>
        </w:rPr>
        <w:t>Does income cover mortgage + expenses</w:t>
      </w:r>
    </w:p>
    <w:p>
      <w:pPr>
        <w:pStyle w:val="style62"/>
        <w:numPr>
          <w:ilvl w:val="1"/>
          <w:numId w:val="2"/>
        </w:numPr>
      </w:pPr>
      <w:r>
        <w:rPr>
          <w:b/>
          <w:bCs/>
        </w:rPr>
        <w:t>Tranche Identification</w:t>
        <w:tab/>
      </w:r>
    </w:p>
    <w:p>
      <w:pPr>
        <w:pStyle w:val="style0"/>
      </w:pPr>
      <w:r>
        <w:rPr/>
      </w:r>
    </w:p>
    <w:p>
      <w:pPr>
        <w:pStyle w:val="style0"/>
      </w:pPr>
      <w:r>
        <w:rPr/>
      </w:r>
    </w:p>
    <w:p>
      <w:pPr>
        <w:pStyle w:val="style0"/>
      </w:pPr>
      <w:r>
        <w:rPr/>
        <w:t>KBRA Multifamily Analysis</w:t>
      </w:r>
    </w:p>
    <w:p>
      <w:pPr>
        <w:pStyle w:val="style0"/>
      </w:pPr>
      <w:r>
        <w:rPr/>
        <w:t>CMBS multifamily properties range from small garden-style apartment complexes to upscale, urban high rise</w:t>
      </w:r>
    </w:p>
    <w:p>
      <w:pPr>
        <w:pStyle w:val="style0"/>
      </w:pPr>
      <w:r>
        <w:rPr/>
        <w:t>buildings with many amenities. A multifamily property’s physical appearance, parking availability and distance</w:t>
      </w:r>
    </w:p>
    <w:p>
      <w:pPr>
        <w:pStyle w:val="style0"/>
      </w:pPr>
      <w:r>
        <w:rPr/>
        <w:t>from employment centers and major transportation nodes influence a property’s pool of potential renters and</w:t>
      </w:r>
    </w:p>
    <w:p>
      <w:pPr>
        <w:pStyle w:val="style0"/>
      </w:pPr>
      <w:r>
        <w:rPr/>
        <w:t>overall income potential.</w:t>
      </w:r>
    </w:p>
    <w:p>
      <w:pPr>
        <w:pStyle w:val="style0"/>
      </w:pPr>
      <w:r>
        <w:rPr/>
        <w:t>Due to the short-term nature of multifamily property leases, the cash flow analysis will generally be largely</w:t>
      </w:r>
    </w:p>
    <w:p>
      <w:pPr>
        <w:pStyle w:val="style0"/>
      </w:pPr>
      <w:r>
        <w:rPr/>
        <w:t>influenced by the property’s historical performance rather than the current rent roll. It is especially critical to</w:t>
      </w:r>
    </w:p>
    <w:p>
      <w:pPr>
        <w:pStyle w:val="style0"/>
      </w:pPr>
      <w:r>
        <w:rPr/>
        <w:t>account for any free rent or other concessions in determining a property’s average rents as compared to market.</w:t>
      </w:r>
    </w:p>
    <w:p>
      <w:pPr>
        <w:pStyle w:val="style0"/>
      </w:pPr>
      <w:r>
        <w:rPr/>
        <w:t>KBRA’s multifamily analysis, property evaluation criteria and cap rate ranges are as follows:</w:t>
      </w:r>
    </w:p>
    <w:p>
      <w:pPr>
        <w:pStyle w:val="style0"/>
      </w:pPr>
      <w:r>
        <w:rPr/>
        <w:t>INCOME:</w:t>
      </w:r>
    </w:p>
    <w:p>
      <w:pPr>
        <w:pStyle w:val="style0"/>
      </w:pPr>
      <w:r>
        <w:rPr/>
        <w:t>Gross Potential/Base Rent</w:t>
      </w:r>
    </w:p>
    <w:p>
      <w:pPr>
        <w:pStyle w:val="style0"/>
      </w:pPr>
      <w:r>
        <w:rPr/>
        <w:t xml:space="preserve"> </w:t>
      </w:r>
      <w:r>
        <w:rPr/>
        <w:t>Current rent roll: Gross potential rent will generally be based on the trailing twelve month period and</w:t>
      </w:r>
    </w:p>
    <w:p>
      <w:pPr>
        <w:pStyle w:val="style0"/>
      </w:pPr>
      <w:r>
        <w:rPr/>
        <w:t xml:space="preserve">   </w:t>
      </w:r>
      <w:r>
        <w:rPr/>
        <w:t>historical rental collections but a current rent roll will be reviewed to determine trends.</w:t>
      </w:r>
    </w:p>
    <w:p>
      <w:pPr>
        <w:pStyle w:val="style0"/>
      </w:pPr>
      <w:r>
        <w:rPr/>
        <w:t xml:space="preserve"> </w:t>
      </w:r>
      <w:r>
        <w:rPr/>
        <w:t>Above-market rents: In most cases, if the property’s aggregate weighted average rent is higher than the</w:t>
      </w:r>
    </w:p>
    <w:p>
      <w:pPr>
        <w:pStyle w:val="style0"/>
      </w:pPr>
      <w:r>
        <w:rPr/>
        <w:t xml:space="preserve">     </w:t>
      </w:r>
      <w:r>
        <w:rPr/>
        <w:t>market, the property’s rental income will likely be adjusted downward. Credit for above market rents at</w:t>
      </w:r>
    </w:p>
    <w:p>
      <w:pPr>
        <w:pStyle w:val="style0"/>
      </w:pPr>
      <w:r>
        <w:rPr/>
        <w:t xml:space="preserve">      </w:t>
      </w:r>
      <w:r>
        <w:rPr/>
        <w:t>certain properties that are considered among the best in their class will be considered on a case-by-case</w:t>
      </w:r>
    </w:p>
    <w:p>
      <w:pPr>
        <w:pStyle w:val="style0"/>
      </w:pPr>
      <w:r>
        <w:rPr/>
        <w:t xml:space="preserve">     </w:t>
      </w:r>
      <w:r>
        <w:rPr/>
        <w:t>basis so long as there has been consistent historical performance at these levels.</w:t>
      </w:r>
    </w:p>
    <w:p>
      <w:pPr>
        <w:pStyle w:val="style0"/>
      </w:pPr>
      <w:r>
        <w:rPr/>
        <w:t>Other Income</w:t>
      </w:r>
    </w:p>
    <w:p>
      <w:pPr>
        <w:pStyle w:val="style0"/>
      </w:pPr>
      <w:r>
        <w:rPr/>
        <w:t></w:t>
      </w:r>
      <w:r>
        <w:rPr/>
      </w:r>
    </w:p>
    <w:p>
      <w:pPr>
        <w:pStyle w:val="style0"/>
      </w:pPr>
      <w:r>
        <w:rPr/>
        <w:t>KBRA will typically exclude non-recurring components of other income. However, we will consider other</w:t>
      </w:r>
    </w:p>
    <w:p>
      <w:pPr>
        <w:pStyle w:val="style0"/>
      </w:pPr>
      <w:r>
        <w:rPr/>
        <w:t>income items, such as laundry and vending income, when supported by historical trends.</w:t>
      </w:r>
    </w:p>
    <w:p>
      <w:pPr>
        <w:pStyle w:val="style0"/>
      </w:pPr>
      <w:r>
        <w:rPr/>
        <w:t>Credit Loss</w:t>
      </w:r>
    </w:p>
    <w:p>
      <w:pPr>
        <w:pStyle w:val="style0"/>
      </w:pPr>
      <w:r>
        <w:rPr/>
        <w:t></w:t>
      </w:r>
      <w:r>
        <w:rPr/>
      </w:r>
    </w:p>
    <w:p>
      <w:pPr>
        <w:pStyle w:val="style0"/>
      </w:pPr>
      <w:r>
        <w:rPr/>
        <w:t>KBRA will generally base any credit loss on historical percentages.</w:t>
      </w:r>
    </w:p>
    <w:p>
      <w:pPr>
        <w:pStyle w:val="style0"/>
      </w:pPr>
      <w:r>
        <w:rPr/>
        <w:t>Vacancy</w:t>
      </w:r>
    </w:p>
    <w:p>
      <w:pPr>
        <w:pStyle w:val="style0"/>
      </w:pPr>
      <w:r>
        <w:rPr/>
        <w:t xml:space="preserve"> </w:t>
      </w:r>
      <w:r>
        <w:rPr/>
        <w:t>KBRA will gross up vacant space to 100% occupancy based on the weighted average in-place rent based</w:t>
      </w:r>
    </w:p>
    <w:p>
      <w:pPr>
        <w:pStyle w:val="style0"/>
      </w:pPr>
      <w:r>
        <w:rPr/>
        <w:t xml:space="preserve">   </w:t>
      </w:r>
      <w:r>
        <w:rPr/>
        <w:t>on the most recent 12-month reporting period. If there are employee and/or model units, they will also</w:t>
      </w:r>
    </w:p>
    <w:p>
      <w:pPr>
        <w:pStyle w:val="style0"/>
      </w:pPr>
      <w:r>
        <w:rPr/>
        <w:t xml:space="preserve">  </w:t>
      </w:r>
      <w:r>
        <w:rPr/>
        <w:t>be included in this analysis.</w:t>
      </w:r>
    </w:p>
    <w:p>
      <w:pPr>
        <w:pStyle w:val="style0"/>
      </w:pPr>
      <w:r>
        <w:rPr/>
        <w:t xml:space="preserve"> </w:t>
      </w:r>
      <w:r>
        <w:rPr/>
        <w:t>Vacancy will then be applied to base rent, generally calculated based on the greatest of actual vacancy</w:t>
      </w:r>
    </w:p>
    <w:p>
      <w:pPr>
        <w:pStyle w:val="style0"/>
      </w:pPr>
      <w:r>
        <w:rPr/>
        <w:t xml:space="preserve">   </w:t>
      </w:r>
      <w:r>
        <w:rPr/>
        <w:t>at the property, market vacancy, or the KBRA minimum vacancy determined by multifamily property</w:t>
      </w:r>
    </w:p>
    <w:p>
      <w:pPr>
        <w:pStyle w:val="style0"/>
      </w:pPr>
      <w:r>
        <w:rPr/>
        <w:t xml:space="preserve">  </w:t>
      </w:r>
      <w:r>
        <w:rPr/>
        <w:t>sub-type, which is typically between 5-7.5% (please see the Multifamily Property Evaluation Parameter</w:t>
      </w:r>
    </w:p>
    <w:p>
      <w:pPr>
        <w:pStyle w:val="style0"/>
      </w:pPr>
      <w:r>
        <w:rPr/>
        <w:t xml:space="preserve"> </w:t>
      </w:r>
      <w:r>
        <w:rPr/>
        <w:t>Chart at the end of this section).</w:t>
      </w:r>
    </w:p>
    <w:p>
      <w:pPr>
        <w:pStyle w:val="style0"/>
      </w:pPr>
      <w:r>
        <w:rPr/>
        <w:t xml:space="preserve"> </w:t>
      </w:r>
      <w:r>
        <w:rPr/>
        <w:t>We will generally apply a reduced vacancy rate for properties that are considered among the best in their</w:t>
      </w:r>
    </w:p>
    <w:p>
      <w:pPr>
        <w:pStyle w:val="style0"/>
      </w:pPr>
      <w:r>
        <w:rPr/>
        <w:t xml:space="preserve">   </w:t>
      </w:r>
      <w:r>
        <w:rPr/>
        <w:t>class or those that have consistently outperformed their markets.</w:t>
      </w:r>
    </w:p>
    <w:p>
      <w:pPr>
        <w:pStyle w:val="style0"/>
      </w:pPr>
      <w:r>
        <w:rPr/>
        <w:t>CMBS Property Evaluation Guidelines</w:t>
      </w:r>
    </w:p>
    <w:p>
      <w:pPr>
        <w:pStyle w:val="style0"/>
      </w:pPr>
      <w:r>
        <w:rPr/>
        <w:t>Page 30 of 49</w:t>
      </w:r>
    </w:p>
    <w:p>
      <w:pPr>
        <w:pStyle w:val="style0"/>
      </w:pPr>
      <w:r>
        <w:rPr/>
        <w:t>June 10, 2011</w:t>
      </w:r>
    </w:p>
    <w:p>
      <w:pPr>
        <w:pStyle w:val="style0"/>
      </w:pPr>
      <w:r>
        <w:rPr/>
        <w:tab/>
      </w:r>
    </w:p>
    <w:p>
      <w:pPr>
        <w:pStyle w:val="style0"/>
      </w:pPr>
      <w:r>
        <w:rPr/>
        <w:tab/>
      </w:r>
    </w:p>
    <w:p>
      <w:pPr>
        <w:pStyle w:val="style0"/>
      </w:pPr>
      <w:r>
        <w:rPr/>
        <w:t>Free Rent/Concessions:</w:t>
      </w:r>
    </w:p>
    <w:p>
      <w:pPr>
        <w:pStyle w:val="style0"/>
      </w:pPr>
      <w:r>
        <w:rPr/>
        <w:t xml:space="preserve"> </w:t>
      </w:r>
      <w:r>
        <w:rPr/>
        <w:t>Free rent will generally be based on the higher of the trailing twelve month period and current</w:t>
      </w:r>
    </w:p>
    <w:p>
      <w:pPr>
        <w:pStyle w:val="style0"/>
      </w:pPr>
      <w:r>
        <w:rPr/>
        <w:t xml:space="preserve">   </w:t>
      </w:r>
      <w:r>
        <w:rPr/>
        <w:t>concessions, with consideration given to historical trends.</w:t>
      </w:r>
    </w:p>
    <w:p>
      <w:pPr>
        <w:pStyle w:val="style0"/>
      </w:pPr>
      <w:r>
        <w:rPr/>
        <w:t xml:space="preserve"> </w:t>
      </w:r>
      <w:r>
        <w:rPr/>
        <w:t>KBRA will generally incorporate free rent/concessions, if recurring, into average rents.</w:t>
      </w:r>
    </w:p>
    <w:p>
      <w:pPr>
        <w:pStyle w:val="style0"/>
      </w:pPr>
      <w:r>
        <w:rPr/>
        <w:t>EXPENSES:</w:t>
      </w:r>
    </w:p>
    <w:p>
      <w:pPr>
        <w:pStyle w:val="style0"/>
      </w:pPr>
      <w:r>
        <w:rPr/>
        <w:t>Management Fee</w:t>
      </w:r>
    </w:p>
    <w:p>
      <w:pPr>
        <w:pStyle w:val="style0"/>
      </w:pPr>
      <w:r>
        <w:rPr/>
        <w:t xml:space="preserve"> </w:t>
      </w:r>
      <w:r>
        <w:rPr/>
        <w:t>KBRA will determine a stabilized management fee based on the actual property management</w:t>
      </w:r>
    </w:p>
    <w:p>
      <w:pPr>
        <w:pStyle w:val="style0"/>
      </w:pPr>
      <w:r>
        <w:rPr/>
        <w:t xml:space="preserve">   </w:t>
      </w:r>
      <w:r>
        <w:rPr/>
        <w:t>agreements, the market rate and the KBRA minimum management fee, which is typically between 3-</w:t>
      </w:r>
    </w:p>
    <w:p>
      <w:pPr>
        <w:pStyle w:val="style0"/>
      </w:pPr>
      <w:r>
        <w:rPr/>
        <w:t xml:space="preserve">  </w:t>
      </w:r>
      <w:r>
        <w:rPr/>
        <w:t>5% of EGI. However, if there is an affiliated property manager in place and the agreement is</w:t>
      </w:r>
    </w:p>
    <w:p>
      <w:pPr>
        <w:pStyle w:val="style0"/>
      </w:pPr>
      <w:r>
        <w:rPr/>
        <w:t xml:space="preserve"> </w:t>
      </w:r>
      <w:r>
        <w:rPr/>
        <w:t>subordinated, we will consider the actual contract within the context of the market rate as determined</w:t>
      </w:r>
    </w:p>
    <w:p>
      <w:pPr>
        <w:pStyle w:val="style0"/>
      </w:pPr>
      <w:r>
        <w:rPr/>
        <w:t>by the appraisal and/or other independent market sources (please see the Multifamily Property</w:t>
      </w:r>
    </w:p>
    <w:p>
      <w:pPr>
        <w:pStyle w:val="style0"/>
      </w:pPr>
      <w:r>
        <w:rPr/>
        <w:t>Evaluation Parameter Chart at the end of this section).</w:t>
      </w:r>
    </w:p>
    <w:p>
      <w:pPr>
        <w:pStyle w:val="style0"/>
      </w:pPr>
      <w:r>
        <w:rPr/>
        <w:t xml:space="preserve"> </w:t>
      </w:r>
      <w:r>
        <w:rPr/>
        <w:t>The management fee may be capped at a lower percentage under certain circumstances. For example,</w:t>
      </w:r>
    </w:p>
    <w:p>
      <w:pPr>
        <w:pStyle w:val="style0"/>
      </w:pPr>
      <w:r>
        <w:rPr/>
        <w:t xml:space="preserve">   </w:t>
      </w:r>
      <w:r>
        <w:rPr/>
        <w:t>this may occur if the fee’s absolute dollar amount is large owing to high rental rates at the property, if</w:t>
      </w:r>
    </w:p>
    <w:p>
      <w:pPr>
        <w:pStyle w:val="style0"/>
      </w:pPr>
      <w:r>
        <w:rPr/>
        <w:t xml:space="preserve">    </w:t>
      </w:r>
      <w:r>
        <w:rPr/>
        <w:t>the manager can achieve benefits from economies of scale that result from a either a large number of</w:t>
      </w:r>
    </w:p>
    <w:p>
      <w:pPr>
        <w:pStyle w:val="style0"/>
      </w:pPr>
      <w:r>
        <w:rPr/>
        <w:t xml:space="preserve">   </w:t>
      </w:r>
      <w:r>
        <w:rPr/>
        <w:t>units or the management of multiple properties in the same geographic region.</w:t>
      </w:r>
    </w:p>
    <w:p>
      <w:pPr>
        <w:pStyle w:val="style0"/>
      </w:pPr>
      <w:r>
        <w:rPr/>
        <w:t>Operating Expenses</w:t>
      </w:r>
    </w:p>
    <w:p>
      <w:pPr>
        <w:pStyle w:val="style0"/>
      </w:pPr>
      <w:r>
        <w:rPr/>
        <w:t xml:space="preserve"> </w:t>
      </w:r>
      <w:r>
        <w:rPr/>
        <w:t>Based on current actual expenses (real estate taxes, insurance) and contracts when possible.</w:t>
      </w:r>
    </w:p>
    <w:p>
      <w:pPr>
        <w:pStyle w:val="style0"/>
      </w:pPr>
      <w:r>
        <w:rPr/>
        <w:t xml:space="preserve"> </w:t>
      </w:r>
      <w:r>
        <w:rPr/>
        <w:t>Remaining line items will be based on the most recent twelve month period with consideration given to</w:t>
      </w:r>
    </w:p>
    <w:p>
      <w:pPr>
        <w:pStyle w:val="style0"/>
      </w:pPr>
      <w:r>
        <w:rPr/>
        <w:t xml:space="preserve">   </w:t>
      </w:r>
      <w:r>
        <w:rPr/>
        <w:t>the historical trends and the Borrower’s budget.</w:t>
      </w:r>
    </w:p>
    <w:p>
      <w:pPr>
        <w:pStyle w:val="style0"/>
      </w:pPr>
      <w:r>
        <w:rPr/>
        <w:t xml:space="preserve"> </w:t>
      </w:r>
      <w:r>
        <w:rPr/>
        <w:t>Individual expenses and overall expense ratios should be consistent with multifamily industry standards</w:t>
      </w:r>
    </w:p>
    <w:p>
      <w:pPr>
        <w:pStyle w:val="style0"/>
      </w:pPr>
      <w:r>
        <w:rPr/>
        <w:t xml:space="preserve">   </w:t>
      </w:r>
      <w:r>
        <w:rPr/>
        <w:t>for comparable properties.</w:t>
      </w:r>
    </w:p>
    <w:p>
      <w:pPr>
        <w:pStyle w:val="style0"/>
      </w:pPr>
      <w:r>
        <w:rPr/>
        <w:t>Capital Expenditures/Replacement Reserves:</w:t>
      </w:r>
    </w:p>
    <w:p>
      <w:pPr>
        <w:pStyle w:val="style0"/>
      </w:pPr>
      <w:r>
        <w:rPr/>
        <w:t></w:t>
      </w:r>
      <w:r>
        <w:rPr/>
      </w:r>
    </w:p>
    <w:p>
      <w:pPr>
        <w:pStyle w:val="style0"/>
      </w:pPr>
      <w:r>
        <w:rPr/>
        <w:t>Generally based on the highest of the actual average annual reserve, the engineering report</w:t>
      </w:r>
    </w:p>
    <w:p>
      <w:pPr>
        <w:pStyle w:val="style0"/>
      </w:pPr>
      <w:r>
        <w:rPr/>
        <w:t>recommendation and the KBRA multifamily minimum capital expenditure amount, which is typically</w:t>
      </w:r>
    </w:p>
    <w:p>
      <w:pPr>
        <w:pStyle w:val="style0"/>
      </w:pPr>
      <w:r>
        <w:rPr/>
        <w:t>$250 per unit, depending on the age and quality of the building and multifamily property sub-type</w:t>
      </w:r>
    </w:p>
    <w:p>
      <w:pPr>
        <w:pStyle w:val="style0"/>
      </w:pPr>
      <w:r>
        <w:rPr/>
        <w:t>(please see the Multifamily Property Evaluation Parameter Chart at the end of this section).</w:t>
      </w:r>
    </w:p>
    <w:p>
      <w:pPr>
        <w:pStyle w:val="style0"/>
      </w:pPr>
      <w:r>
        <w:rPr/>
        <w:t>CMBS Property Evaluation Guidelines</w:t>
      </w:r>
    </w:p>
    <w:p>
      <w:pPr>
        <w:pStyle w:val="style0"/>
      </w:pPr>
      <w:r>
        <w:rPr/>
        <w:t>Page 31 of 49</w:t>
      </w:r>
    </w:p>
    <w:p>
      <w:pPr>
        <w:pStyle w:val="style0"/>
      </w:pPr>
      <w:r>
        <w:rPr/>
        <w:t>June 10, 2011</w:t>
      </w:r>
    </w:p>
    <w:p>
      <w:pPr>
        <w:pStyle w:val="style0"/>
      </w:pPr>
      <w:r>
        <w:rPr/>
        <w:tab/>
      </w:r>
    </w:p>
    <w:p>
      <w:pPr>
        <w:pStyle w:val="style0"/>
      </w:pPr>
      <w:r>
        <w:rPr/>
        <w:tab/>
      </w:r>
    </w:p>
    <w:p>
      <w:pPr>
        <w:pStyle w:val="style0"/>
      </w:pPr>
      <w:r>
        <w:rPr/>
        <w:t>Key Considerations Used to Determine Quality Scores and Cap Rates for Multifamily Properties</w:t>
      </w:r>
    </w:p>
    <w:p>
      <w:pPr>
        <w:pStyle w:val="style0"/>
      </w:pPr>
      <w:r>
        <w:rPr/>
        <w:t>KBRA stressed multifamily property cap rates will be determined based upon many qualitative factors, including</w:t>
      </w:r>
    </w:p>
    <w:p>
      <w:pPr>
        <w:pStyle w:val="style0"/>
      </w:pPr>
      <w:r>
        <w:rPr/>
        <w:t>the key characteristics listed below:</w:t>
      </w:r>
    </w:p>
    <w:p>
      <w:pPr>
        <w:pStyle w:val="style0"/>
      </w:pPr>
      <w:r>
        <w:rPr/>
        <w:t>Physical Characteristics/Condition</w:t>
      </w:r>
    </w:p>
    <w:p>
      <w:pPr>
        <w:pStyle w:val="style0"/>
      </w:pPr>
      <w:r>
        <w:rPr/>
        <w:t></w:t>
      </w:r>
      <w:r>
        <w:rPr/>
      </w:r>
    </w:p>
    <w:p>
      <w:pPr>
        <w:pStyle w:val="style0"/>
      </w:pPr>
      <w:r>
        <w:rPr/>
        <w:t></w:t>
      </w:r>
      <w:r>
        <w:rPr/>
      </w:r>
    </w:p>
    <w:p>
      <w:pPr>
        <w:pStyle w:val="style0"/>
      </w:pPr>
      <w:r>
        <w:rPr/>
        <w:t></w:t>
      </w:r>
      <w:r>
        <w:rPr/>
      </w:r>
    </w:p>
    <w:p>
      <w:pPr>
        <w:pStyle w:val="style0"/>
      </w:pPr>
      <w:r>
        <w:rPr/>
        <w:t></w:t>
      </w:r>
      <w:r>
        <w:rPr/>
      </w:r>
    </w:p>
    <w:p>
      <w:pPr>
        <w:pStyle w:val="style0"/>
      </w:pPr>
      <w:r>
        <w:rPr/>
        <w:t></w:t>
      </w:r>
      <w:r>
        <w:rPr/>
      </w:r>
    </w:p>
    <w:p>
      <w:pPr>
        <w:pStyle w:val="style0"/>
      </w:pPr>
      <w:r>
        <w:rPr/>
        <w:t></w:t>
      </w:r>
      <w:r>
        <w:rPr/>
      </w:r>
    </w:p>
    <w:p>
      <w:pPr>
        <w:pStyle w:val="style0"/>
      </w:pPr>
      <w:r>
        <w:rPr/>
        <w:t></w:t>
      </w:r>
      <w:r>
        <w:rPr/>
      </w:r>
    </w:p>
    <w:p>
      <w:pPr>
        <w:pStyle w:val="style0"/>
      </w:pPr>
      <w:r>
        <w:rPr/>
        <w:t></w:t>
      </w:r>
      <w:r>
        <w:rPr/>
      </w:r>
    </w:p>
    <w:p>
      <w:pPr>
        <w:pStyle w:val="style0"/>
      </w:pPr>
      <w:r>
        <w:rPr/>
        <w:t></w:t>
      </w:r>
      <w:r>
        <w:rPr/>
      </w:r>
    </w:p>
    <w:p>
      <w:pPr>
        <w:pStyle w:val="style0"/>
      </w:pPr>
      <w:r>
        <w:rPr/>
        <w:t></w:t>
      </w:r>
      <w:r>
        <w:rPr/>
      </w:r>
    </w:p>
    <w:p>
      <w:pPr>
        <w:pStyle w:val="style0"/>
      </w:pPr>
      <w:r>
        <w:rPr/>
        <w:t>class of asset</w:t>
      </w:r>
    </w:p>
    <w:p>
      <w:pPr>
        <w:pStyle w:val="style0"/>
      </w:pPr>
      <w:r>
        <w:rPr/>
        <w:t>age of asset</w:t>
      </w:r>
    </w:p>
    <w:p>
      <w:pPr>
        <w:pStyle w:val="style0"/>
      </w:pPr>
      <w:r>
        <w:rPr/>
        <w:t>LEED certification status</w:t>
      </w:r>
    </w:p>
    <w:p>
      <w:pPr>
        <w:pStyle w:val="style0"/>
      </w:pPr>
      <w:r>
        <w:rPr/>
        <w:t>total number of units</w:t>
      </w:r>
    </w:p>
    <w:p>
      <w:pPr>
        <w:pStyle w:val="style0"/>
      </w:pPr>
      <w:r>
        <w:rPr/>
        <w:t>layout and unit mix (i.e. number of 1-bedrooms, 2-bedrooms, etc.)</w:t>
      </w:r>
    </w:p>
    <w:p>
      <w:pPr>
        <w:pStyle w:val="style0"/>
      </w:pPr>
      <w:r>
        <w:rPr/>
        <w:t>style of property (high rise, garden style, etc.)</w:t>
      </w:r>
    </w:p>
    <w:p>
      <w:pPr>
        <w:pStyle w:val="style0"/>
      </w:pPr>
      <w:r>
        <w:rPr/>
        <w:t>type of construction (exterior and interior)</w:t>
      </w:r>
    </w:p>
    <w:p>
      <w:pPr>
        <w:pStyle w:val="style0"/>
      </w:pPr>
      <w:r>
        <w:rPr/>
        <w:t>on-site amenities</w:t>
      </w:r>
    </w:p>
    <w:p>
      <w:pPr>
        <w:pStyle w:val="style0"/>
      </w:pPr>
      <w:r>
        <w:rPr/>
        <w:t>adequacy of parking (residents and visitors)</w:t>
      </w:r>
    </w:p>
    <w:p>
      <w:pPr>
        <w:pStyle w:val="style0"/>
      </w:pPr>
      <w:r>
        <w:rPr/>
        <w:t>general curb appeal</w:t>
      </w:r>
    </w:p>
    <w:p>
      <w:pPr>
        <w:pStyle w:val="style0"/>
      </w:pPr>
      <w:r>
        <w:rPr/>
        <w:t>Location</w:t>
      </w:r>
    </w:p>
    <w:p>
      <w:pPr>
        <w:pStyle w:val="style0"/>
      </w:pPr>
      <w:r>
        <w:rPr/>
        <w:t></w:t>
      </w:r>
      <w:r>
        <w:rPr/>
      </w:r>
    </w:p>
    <w:p>
      <w:pPr>
        <w:pStyle w:val="style0"/>
      </w:pPr>
      <w:r>
        <w:rPr/>
        <w:t></w:t>
      </w:r>
      <w:r>
        <w:rPr/>
      </w:r>
    </w:p>
    <w:p>
      <w:pPr>
        <w:pStyle w:val="style0"/>
      </w:pPr>
      <w:r>
        <w:rPr/>
        <w:t></w:t>
      </w:r>
      <w:r>
        <w:rPr/>
      </w:r>
    </w:p>
    <w:p>
      <w:pPr>
        <w:pStyle w:val="style0"/>
      </w:pPr>
      <w:r>
        <w:rPr/>
        <w:t></w:t>
      </w:r>
      <w:r>
        <w:rPr/>
      </w:r>
    </w:p>
    <w:p>
      <w:pPr>
        <w:pStyle w:val="style0"/>
      </w:pPr>
      <w:r>
        <w:rPr/>
        <w:t></w:t>
      </w:r>
      <w:r>
        <w:rPr/>
      </w:r>
    </w:p>
    <w:p>
      <w:pPr>
        <w:pStyle w:val="style0"/>
      </w:pPr>
      <w:r>
        <w:rPr/>
        <w:t></w:t>
      </w:r>
      <w:r>
        <w:rPr/>
      </w:r>
    </w:p>
    <w:p>
      <w:pPr>
        <w:pStyle w:val="style0"/>
      </w:pPr>
      <w:r>
        <w:rPr/>
        <w:t></w:t>
      </w:r>
      <w:r>
        <w:rPr/>
      </w:r>
    </w:p>
    <w:p>
      <w:pPr>
        <w:pStyle w:val="style0"/>
      </w:pPr>
      <w:r>
        <w:rPr/>
        <w:t></w:t>
      </w:r>
      <w:r>
        <w:rPr/>
      </w:r>
    </w:p>
    <w:p>
      <w:pPr>
        <w:pStyle w:val="style0"/>
      </w:pPr>
      <w:r>
        <w:rPr/>
        <w:t>primary, secondary, tertiary/urban vs. suburban</w:t>
      </w:r>
    </w:p>
    <w:p>
      <w:pPr>
        <w:pStyle w:val="style0"/>
      </w:pPr>
      <w:r>
        <w:rPr/>
        <w:t>strong/weak neighborhood</w:t>
      </w:r>
    </w:p>
    <w:p>
      <w:pPr>
        <w:pStyle w:val="style0"/>
      </w:pPr>
      <w:r>
        <w:rPr/>
        <w:t>road network/visibility/accessibility/ingress/egress</w:t>
      </w:r>
    </w:p>
    <w:p>
      <w:pPr>
        <w:pStyle w:val="style0"/>
      </w:pPr>
      <w:r>
        <w:rPr/>
        <w:t>proximity to interstates, employment centers, shopping, hospitals, airports and other amenities</w:t>
      </w:r>
    </w:p>
    <w:p>
      <w:pPr>
        <w:pStyle w:val="style0"/>
      </w:pPr>
      <w:r>
        <w:rPr/>
        <w:t>infrastructure, including planned improvements, if any</w:t>
      </w:r>
    </w:p>
    <w:p>
      <w:pPr>
        <w:pStyle w:val="style0"/>
      </w:pPr>
      <w:r>
        <w:rPr/>
        <w:t>future highways/interchanges</w:t>
      </w:r>
    </w:p>
    <w:p>
      <w:pPr>
        <w:pStyle w:val="style0"/>
      </w:pPr>
      <w:r>
        <w:rPr/>
        <w:t>zoning (special use, if applicable)</w:t>
      </w:r>
    </w:p>
    <w:p>
      <w:pPr>
        <w:pStyle w:val="style0"/>
      </w:pPr>
      <w:r>
        <w:rPr/>
        <w:t>land use in vicinity and availability of land for future development</w:t>
      </w:r>
    </w:p>
    <w:p>
      <w:pPr>
        <w:pStyle w:val="style0"/>
      </w:pPr>
      <w:r>
        <w:rPr/>
        <w:t>Market Information</w:t>
      </w:r>
    </w:p>
    <w:p>
      <w:pPr>
        <w:pStyle w:val="style0"/>
      </w:pPr>
      <w:r>
        <w:rPr/>
        <w:t></w:t>
      </w:r>
      <w:r>
        <w:rPr/>
      </w:r>
    </w:p>
    <w:p>
      <w:pPr>
        <w:pStyle w:val="style0"/>
      </w:pPr>
      <w:r>
        <w:rPr/>
        <w:t></w:t>
      </w:r>
      <w:r>
        <w:rPr/>
      </w:r>
    </w:p>
    <w:p>
      <w:pPr>
        <w:pStyle w:val="style0"/>
      </w:pPr>
      <w:r>
        <w:rPr/>
        <w:t>trade area demographics</w:t>
      </w:r>
    </w:p>
    <w:p>
      <w:pPr>
        <w:pStyle w:val="style0"/>
      </w:pPr>
      <w:r>
        <w:rPr/>
        <w:t xml:space="preserve">• </w:t>
      </w:r>
      <w:r>
        <w:rPr/>
        <w:t>population/population growth/average household size</w:t>
      </w:r>
    </w:p>
    <w:p>
      <w:pPr>
        <w:pStyle w:val="style0"/>
      </w:pPr>
      <w:r>
        <w:rPr/>
        <w:t xml:space="preserve">• </w:t>
      </w:r>
      <w:r>
        <w:rPr/>
        <w:t>average household income</w:t>
      </w:r>
    </w:p>
    <w:p>
      <w:pPr>
        <w:pStyle w:val="style0"/>
      </w:pPr>
      <w:r>
        <w:rPr/>
        <w:t xml:space="preserve">• </w:t>
      </w:r>
      <w:r>
        <w:rPr/>
        <w:t>employment (major employers, stability, professional vs. blue collar)</w:t>
      </w:r>
    </w:p>
    <w:p>
      <w:pPr>
        <w:pStyle w:val="style0"/>
      </w:pPr>
      <w:r>
        <w:rPr/>
        <w:t xml:space="preserve">• </w:t>
      </w:r>
      <w:r>
        <w:rPr/>
        <w:t>growth trends in area</w:t>
      </w:r>
    </w:p>
    <w:p>
      <w:pPr>
        <w:pStyle w:val="style0"/>
      </w:pPr>
      <w:r>
        <w:rPr/>
        <w:t>rental rates vs. single family home prices in area</w:t>
      </w:r>
    </w:p>
    <w:p>
      <w:pPr>
        <w:pStyle w:val="style0"/>
      </w:pPr>
      <w:r>
        <w:rPr/>
        <w:t>Financial Considerations</w:t>
      </w:r>
    </w:p>
    <w:p>
      <w:pPr>
        <w:pStyle w:val="style0"/>
      </w:pPr>
      <w:r>
        <w:rPr/>
        <w:t></w:t>
      </w:r>
      <w:r>
        <w:rPr/>
      </w:r>
    </w:p>
    <w:p>
      <w:pPr>
        <w:pStyle w:val="style0"/>
      </w:pPr>
      <w:r>
        <w:rPr/>
        <w:t></w:t>
      </w:r>
      <w:r>
        <w:rPr/>
      </w:r>
    </w:p>
    <w:p>
      <w:pPr>
        <w:pStyle w:val="style0"/>
      </w:pPr>
      <w:r>
        <w:rPr/>
        <w:t></w:t>
      </w:r>
      <w:r>
        <w:rPr/>
      </w:r>
    </w:p>
    <w:p>
      <w:pPr>
        <w:pStyle w:val="style0"/>
      </w:pPr>
      <w:r>
        <w:rPr/>
        <w:t></w:t>
      </w:r>
      <w:r>
        <w:rPr/>
      </w:r>
    </w:p>
    <w:p>
      <w:pPr>
        <w:pStyle w:val="style0"/>
      </w:pPr>
      <w:r>
        <w:rPr/>
        <w:t>legal or other restrictions on rent (rent control, rent stabilization, 80/20, etc.)</w:t>
      </w:r>
    </w:p>
    <w:p>
      <w:pPr>
        <w:pStyle w:val="style0"/>
      </w:pPr>
      <w:r>
        <w:rPr/>
        <w:t>legal or other restrictions on tenant profile (seniors only, student housing, etc.)</w:t>
      </w:r>
    </w:p>
    <w:p>
      <w:pPr>
        <w:pStyle w:val="style0"/>
      </w:pPr>
      <w:r>
        <w:rPr/>
        <w:t>analysis of turnover and leasing activity</w:t>
      </w:r>
    </w:p>
    <w:p>
      <w:pPr>
        <w:pStyle w:val="style0"/>
      </w:pPr>
      <w:r>
        <w:rPr/>
        <w:t>tenant retention history</w:t>
      </w:r>
    </w:p>
    <w:p>
      <w:pPr>
        <w:pStyle w:val="style0"/>
      </w:pPr>
      <w:r>
        <w:rPr/>
        <w:t>CMBS Property Evaluation Guidelines</w:t>
      </w:r>
    </w:p>
    <w:p>
      <w:pPr>
        <w:pStyle w:val="style0"/>
      </w:pPr>
      <w:r>
        <w:rPr/>
        <w:t>Page 32 of 49</w:t>
      </w:r>
    </w:p>
    <w:p>
      <w:pPr>
        <w:pStyle w:val="style0"/>
      </w:pPr>
      <w:r>
        <w:rPr/>
        <w:t>June 10, 2011</w:t>
      </w:r>
    </w:p>
    <w:p>
      <w:pPr>
        <w:pStyle w:val="style0"/>
      </w:pPr>
      <w:r>
        <w:rPr/>
        <w:tab/>
      </w:r>
    </w:p>
    <w:p>
      <w:pPr>
        <w:pStyle w:val="style0"/>
      </w:pPr>
      <w:r>
        <w:rPr/>
        <w:tab/>
      </w:r>
    </w:p>
    <w:p>
      <w:pPr>
        <w:pStyle w:val="style0"/>
      </w:pPr>
      <w:r>
        <w:rPr/>
        <w:t>Competition/Supply and Demand Dynamics</w:t>
      </w:r>
    </w:p>
    <w:p>
      <w:pPr>
        <w:pStyle w:val="style0"/>
      </w:pPr>
      <w:r>
        <w:rPr/>
        <w:t></w:t>
      </w:r>
      <w:r>
        <w:rPr/>
      </w:r>
    </w:p>
    <w:p>
      <w:pPr>
        <w:pStyle w:val="style0"/>
      </w:pPr>
      <w:r>
        <w:rPr/>
        <w:t></w:t>
      </w:r>
      <w:r>
        <w:rPr/>
      </w:r>
    </w:p>
    <w:p>
      <w:pPr>
        <w:pStyle w:val="style0"/>
      </w:pPr>
      <w:r>
        <w:rPr/>
        <w:t>existing primary and secondary competitors</w:t>
      </w:r>
    </w:p>
    <w:p>
      <w:pPr>
        <w:pStyle w:val="style0"/>
      </w:pPr>
      <w:r>
        <w:rPr/>
        <w:t xml:space="preserve">• </w:t>
      </w:r>
      <w:r>
        <w:rPr/>
        <w:t>name and distance from subject</w:t>
      </w:r>
    </w:p>
    <w:p>
      <w:pPr>
        <w:pStyle w:val="style0"/>
      </w:pPr>
      <w:r>
        <w:rPr/>
        <w:t xml:space="preserve">• </w:t>
      </w:r>
      <w:r>
        <w:rPr/>
        <w:t>class, age, # of units/unit mix, and occupancy</w:t>
      </w:r>
    </w:p>
    <w:p>
      <w:pPr>
        <w:pStyle w:val="style0"/>
      </w:pPr>
      <w:r>
        <w:rPr/>
        <w:t xml:space="preserve">• </w:t>
      </w:r>
      <w:r>
        <w:rPr/>
        <w:t>asking rents/concessions, if any</w:t>
      </w:r>
    </w:p>
    <w:p>
      <w:pPr>
        <w:pStyle w:val="style0"/>
      </w:pPr>
      <w:r>
        <w:rPr/>
        <w:t xml:space="preserve">• </w:t>
      </w:r>
      <w:r>
        <w:rPr/>
        <w:t>advantages/disadvantages</w:t>
      </w:r>
    </w:p>
    <w:p>
      <w:pPr>
        <w:pStyle w:val="style0"/>
      </w:pPr>
      <w:r>
        <w:rPr/>
        <w:t>new competitive developments-planned or under construction</w:t>
      </w:r>
    </w:p>
    <w:p>
      <w:pPr>
        <w:pStyle w:val="style0"/>
      </w:pPr>
      <w:r>
        <w:rPr/>
        <w:t>Property Management</w:t>
      </w:r>
    </w:p>
    <w:p>
      <w:pPr>
        <w:pStyle w:val="style0"/>
      </w:pPr>
      <w:r>
        <w:rPr/>
        <w:t></w:t>
      </w:r>
      <w:r>
        <w:rPr/>
      </w:r>
    </w:p>
    <w:p>
      <w:pPr>
        <w:pStyle w:val="style0"/>
      </w:pPr>
      <w:r>
        <w:rPr/>
        <w:t></w:t>
      </w:r>
      <w:r>
        <w:rPr/>
      </w:r>
    </w:p>
    <w:p>
      <w:pPr>
        <w:pStyle w:val="style0"/>
      </w:pPr>
      <w:r>
        <w:rPr/>
        <w:t></w:t>
      </w:r>
      <w:r>
        <w:rPr/>
      </w:r>
    </w:p>
    <w:p>
      <w:pPr>
        <w:pStyle w:val="style0"/>
      </w:pPr>
      <w:r>
        <w:rPr/>
        <w:t>experience with property-type</w:t>
      </w:r>
    </w:p>
    <w:p>
      <w:pPr>
        <w:pStyle w:val="style0"/>
      </w:pPr>
      <w:r>
        <w:rPr/>
        <w:t>on-site vs. remote</w:t>
      </w:r>
    </w:p>
    <w:p>
      <w:pPr>
        <w:pStyle w:val="style0"/>
      </w:pPr>
      <w:r>
        <w:rPr/>
        <w:t>process for prospective tenants (pre-screening, reference checks, late payment)</w:t>
      </w:r>
    </w:p>
    <w:p>
      <w:pPr>
        <w:pStyle w:val="style0"/>
      </w:pPr>
      <w:r>
        <w:rPr/>
        <w:t>Please refer to the chart below for the evaluation parameters for each multifamily property sub-type.</w:t>
      </w:r>
    </w:p>
    <w:p>
      <w:pPr>
        <w:pStyle w:val="style0"/>
      </w:pPr>
      <w:r>
        <w:rPr/>
        <w:t>KBRA Multifamily Property Evaluation Parameter Chart</w:t>
      </w:r>
    </w:p>
    <w:p>
      <w:pPr>
        <w:pStyle w:val="style0"/>
      </w:pPr>
      <w:r>
        <w:rPr/>
        <w:t>Property Type Vacancy1 Management Fee Cap Ex Tenant Leasing KBRA KBRA Cap</w:t>
      </w:r>
    </w:p>
    <w:p>
      <w:pPr>
        <w:pStyle w:val="style0"/>
      </w:pPr>
      <w:r>
        <w:rPr/>
        <w:t xml:space="preserve">                       </w:t>
      </w:r>
      <w:r>
        <w:rPr/>
        <w:t>(% EGI) 1 (Per Unit) 1 Improvements Commissions Constant Rate Range</w:t>
      </w:r>
    </w:p>
    <w:p>
      <w:pPr>
        <w:pStyle w:val="style0"/>
      </w:pPr>
      <w:r>
        <w:rPr/>
        <w:t>Multifamily - CBD, Class 5.0% 3-5% $250 N/A N/A 8.25% 7.75% - 9.25%</w:t>
      </w:r>
    </w:p>
    <w:p>
      <w:pPr>
        <w:pStyle w:val="style0"/>
      </w:pPr>
      <w:r>
        <w:rPr/>
        <w:t xml:space="preserve">A </w:t>
      </w:r>
    </w:p>
    <w:p>
      <w:pPr>
        <w:pStyle w:val="style0"/>
      </w:pPr>
      <w:r>
        <w:rPr/>
        <w:t>Multifamily - CBD, Class 5.0% - 7.5% 3-5% $250 N/A N/A 9.00% 8.00% - 9.50%</w:t>
      </w:r>
    </w:p>
    <w:p>
      <w:pPr>
        <w:pStyle w:val="style0"/>
      </w:pPr>
      <w:r>
        <w:rPr/>
        <w:t xml:space="preserve">B/C </w:t>
      </w:r>
    </w:p>
    <w:p>
      <w:pPr>
        <w:pStyle w:val="style0"/>
      </w:pPr>
      <w:r>
        <w:rPr/>
        <w:t>Multifamily - Suburban, 5.0% 3-5% $250 N/A N/A 8.50% 8.00% - 9.50%</w:t>
      </w:r>
    </w:p>
    <w:p>
      <w:pPr>
        <w:pStyle w:val="style0"/>
      </w:pPr>
      <w:r>
        <w:rPr/>
        <w:t xml:space="preserve">Class A </w:t>
      </w:r>
    </w:p>
    <w:p>
      <w:pPr>
        <w:pStyle w:val="style0"/>
      </w:pPr>
      <w:r>
        <w:rPr/>
        <w:t>Multifamily - Suburban, 5.0% - 7.5% 3-5% $250 N/A N/A 9.25% 8.25% - 9.75%</w:t>
      </w:r>
    </w:p>
    <w:p>
      <w:pPr>
        <w:pStyle w:val="style0"/>
      </w:pPr>
      <w:r>
        <w:rPr/>
        <w:t xml:space="preserve">Class B/C </w:t>
      </w:r>
    </w:p>
    <w:p>
      <w:pPr>
        <w:pStyle w:val="style0"/>
      </w:pPr>
      <w:r>
        <w:rPr/>
        <w:t>Multifamily - Student 5.0% - 7.5% 3-5% $250 N/A N/A 9.25% 8.25% - 9.75%</w:t>
      </w:r>
    </w:p>
    <w:p>
      <w:pPr>
        <w:pStyle w:val="style0"/>
      </w:pPr>
      <w:r>
        <w:rPr/>
        <w:t xml:space="preserve">Housing/Specialty </w:t>
      </w:r>
    </w:p>
    <w:p>
      <w:pPr>
        <w:pStyle w:val="style0"/>
      </w:pPr>
      <w:r>
        <w:rPr/>
        <w:t>1</w:t>
      </w:r>
    </w:p>
    <w:p>
      <w:pPr>
        <w:pStyle w:val="style0"/>
      </w:pPr>
      <w:r>
        <w:rPr/>
        <w:t>For vacancy, management fees, and capital expenditures, we will generally use the greatest of the KBRA parameter, actual, market, and the engineers report (for capex). In</w:t>
      </w:r>
    </w:p>
    <w:p>
      <w:pPr>
        <w:pStyle w:val="style0"/>
      </w:pPr>
      <w:r>
        <w:rPr/>
        <w:t>certain circumstances, we may use a different parameter for these items, or the other parameters noted on this chart. Should this occur, it will be disclosed in our transaction</w:t>
      </w:r>
    </w:p>
    <w:p>
      <w:pPr>
        <w:pStyle w:val="style0"/>
      </w:pPr>
      <w:r>
        <w:rPr/>
        <w:t>write-up.</w:t>
      </w:r>
    </w:p>
    <w:p>
      <w:pPr>
        <w:pStyle w:val="style1"/>
      </w:pPr>
      <w:r>
        <w:rPr/>
        <w:t>Template Examples</w:t>
      </w:r>
    </w:p>
    <w:p>
      <w:pPr>
        <w:pStyle w:val="style0"/>
      </w:pPr>
      <w:r>
        <w:rPr/>
      </w:r>
    </w:p>
    <w:p>
      <w:pPr>
        <w:pStyle w:val="style62"/>
      </w:pPr>
      <w:r>
        <w:rPr/>
        <w:t xml:space="preserve">Maecenas sit amet ante. Proin aliquam vulputate nisi. Sed urna velit, imperdiet id, tristique in, ullamcorper volutpat, nunc. Pellentesque habitant morbi tristique senectus et netus et malesuada fames ac turpis egestas. Sed posuere magna vel eros. </w:t>
      </w:r>
    </w:p>
    <w:p>
      <w:pPr>
        <w:pStyle w:val="style2"/>
        <w:numPr>
          <w:ilvl w:val="1"/>
          <w:numId w:val="1"/>
        </w:numPr>
      </w:pPr>
      <w:r>
        <w:rPr/>
        <w:t xml:space="preserve">Sed sit amet nulla non nisl ultrices vehicula. </w:t>
      </w:r>
    </w:p>
    <w:p>
      <w:pPr>
        <w:pStyle w:val="style62"/>
      </w:pPr>
      <w:r>
        <w:rPr/>
        <w:t>Etiam in nisi vel velit eleifend fringilla. Vivamus et ante. Aliquam erat volutpat. Vivamus eu est eu leo hendrerit feugiat. Nam ac lectus auctor massa viverra posuere.</w:t>
      </w:r>
    </w:p>
    <w:tbl>
      <w:tblPr>
        <w:jc w:val="left"/>
        <w:tblBorders/>
        <w:tblInd w:type="dxa" w:w="-108"/>
      </w:tblPr>
      <w:tblGrid>
        <w:gridCol w:w="5394"/>
        <w:gridCol w:w="5405"/>
      </w:tblGrid>
      <w:tr>
        <w:trPr>
          <w:cantSplit w:val="false"/>
        </w:trPr>
        <w:tc>
          <w:tcPr>
            <w:tcW w:type="dxa" w:w="5394"/>
            <w:tcBorders/>
            <w:shd w:fill="auto" w:val="clear"/>
            <w:tcMar>
              <w:top w:type="dxa" w:w="0"/>
              <w:left w:type="dxa" w:w="108"/>
              <w:bottom w:type="dxa" w:w="0"/>
              <w:right w:type="dxa" w:w="108"/>
            </w:tcMar>
          </w:tcPr>
          <w:tbl>
            <w:tblPr>
              <w:jc w:val="left"/>
              <w:tblBorders/>
              <w:tblInd w:type="dxa" w:w="-108"/>
            </w:tblPr>
            <w:tblGrid>
              <w:gridCol w:w="1728"/>
              <w:gridCol w:w="1833"/>
              <w:gridCol w:w="1834"/>
            </w:tblGrid>
            <w:tr>
              <w:trPr>
                <w:cantSplit w:val="false"/>
              </w:trPr>
              <w:tc>
                <w:tcPr>
                  <w:tcW w:type="dxa" w:w="1728"/>
                  <w:tcBorders/>
                  <w:shd w:fill="auto" w:val="clear"/>
                  <w:tcMar>
                    <w:top w:type="dxa" w:w="0"/>
                    <w:left w:type="dxa" w:w="108"/>
                    <w:bottom w:type="dxa" w:w="0"/>
                    <w:right w:type="dxa" w:w="108"/>
                  </w:tcMar>
                </w:tcPr>
                <w:p>
                  <w:pPr>
                    <w:pStyle w:val="style75"/>
                    <w:spacing w:after="40" w:before="200"/>
                  </w:pPr>
                  <w:r>
                    <w:rPr>
                      <w:lang w:val="fr-FR"/>
                    </w:rPr>
                  </w:r>
                </w:p>
              </w:tc>
              <w:tc>
                <w:tcPr>
                  <w:tcW w:type="dxa" w:w="1833"/>
                  <w:tcBorders/>
                  <w:shd w:fill="auto" w:val="clear"/>
                  <w:tcMar>
                    <w:top w:type="dxa" w:w="0"/>
                    <w:left w:type="dxa" w:w="108"/>
                    <w:bottom w:type="dxa" w:w="0"/>
                    <w:right w:type="dxa" w:w="108"/>
                  </w:tcMar>
                </w:tcPr>
                <w:p>
                  <w:pPr>
                    <w:pStyle w:val="style75"/>
                    <w:suppressLineNumbers/>
                    <w:spacing w:after="40" w:before="200"/>
                    <w:jc w:val="center"/>
                  </w:pPr>
                  <w:r>
                    <w:rPr/>
                    <w:t>Column 2</w:t>
                  </w:r>
                </w:p>
              </w:tc>
              <w:tc>
                <w:tcPr>
                  <w:tcW w:type="dxa" w:w="1834"/>
                  <w:tcBorders/>
                  <w:shd w:fill="auto" w:val="clear"/>
                  <w:tcMar>
                    <w:top w:type="dxa" w:w="0"/>
                    <w:left w:type="dxa" w:w="108"/>
                    <w:bottom w:type="dxa" w:w="0"/>
                    <w:right w:type="dxa" w:w="108"/>
                  </w:tcMar>
                </w:tcPr>
                <w:p>
                  <w:pPr>
                    <w:pStyle w:val="style75"/>
                    <w:suppressLineNumbers/>
                    <w:spacing w:after="40" w:before="200"/>
                    <w:jc w:val="center"/>
                  </w:pPr>
                  <w:r>
                    <w:rPr/>
                    <w:t>Column 3</w:t>
                  </w:r>
                </w:p>
              </w:tc>
            </w:tr>
            <w:tr>
              <w:trPr>
                <w:cantSplit w:val="false"/>
              </w:trPr>
              <w:tc>
                <w:tcPr>
                  <w:tcW w:type="dxa" w:w="1728"/>
                  <w:tcBorders/>
                  <w:shd w:fill="FFFFFF" w:val="clear"/>
                  <w:tcMar>
                    <w:top w:type="dxa" w:w="0"/>
                    <w:left w:type="dxa" w:w="108"/>
                    <w:bottom w:type="dxa" w:w="0"/>
                    <w:right w:type="dxa" w:w="108"/>
                  </w:tcMar>
                </w:tcPr>
                <w:p>
                  <w:pPr>
                    <w:pStyle w:val="style71"/>
                    <w:spacing w:after="60" w:before="60"/>
                    <w:jc w:val="left"/>
                  </w:pPr>
                  <w:r>
                    <w:rPr/>
                    <w:t>Category 1</w:t>
                  </w:r>
                </w:p>
              </w:tc>
              <w:tc>
                <w:tcPr>
                  <w:tcW w:type="dxa" w:w="1833"/>
                  <w:tcBorders/>
                  <w:shd w:fill="FFFFFF" w:val="clear"/>
                  <w:tcMar>
                    <w:top w:type="dxa" w:w="0"/>
                    <w:left w:type="dxa" w:w="108"/>
                    <w:bottom w:type="dxa" w:w="0"/>
                    <w:right w:type="dxa" w:w="108"/>
                  </w:tcMar>
                </w:tcPr>
                <w:p>
                  <w:pPr>
                    <w:pStyle w:val="style70"/>
                    <w:spacing w:after="60" w:before="60"/>
                    <w:jc w:val="center"/>
                  </w:pPr>
                  <w:r>
                    <w:rPr/>
                    <w:t>123</w:t>
                  </w:r>
                </w:p>
              </w:tc>
              <w:tc>
                <w:tcPr>
                  <w:tcW w:type="dxa" w:w="1834"/>
                  <w:tcBorders/>
                  <w:shd w:fill="auto" w:val="clear"/>
                  <w:tcMar>
                    <w:top w:type="dxa" w:w="0"/>
                    <w:left w:type="dxa" w:w="108"/>
                    <w:bottom w:type="dxa" w:w="0"/>
                    <w:right w:type="dxa" w:w="108"/>
                  </w:tcMar>
                </w:tcPr>
                <w:p>
                  <w:pPr>
                    <w:pStyle w:val="style70"/>
                    <w:spacing w:after="60" w:before="60"/>
                    <w:jc w:val="center"/>
                  </w:pPr>
                  <w:r>
                    <w:rPr/>
                    <w:t>234</w:t>
                  </w:r>
                </w:p>
              </w:tc>
            </w:tr>
            <w:tr>
              <w:trPr>
                <w:cantSplit w:val="false"/>
              </w:trPr>
              <w:tc>
                <w:tcPr>
                  <w:tcW w:type="dxa" w:w="1728"/>
                  <w:tcBorders/>
                  <w:shd w:fill="auto" w:val="clear"/>
                  <w:tcMar>
                    <w:top w:type="dxa" w:w="0"/>
                    <w:left w:type="dxa" w:w="108"/>
                    <w:bottom w:type="dxa" w:w="0"/>
                    <w:right w:type="dxa" w:w="108"/>
                  </w:tcMar>
                </w:tcPr>
                <w:p>
                  <w:pPr>
                    <w:pStyle w:val="style71"/>
                    <w:spacing w:after="60" w:before="60"/>
                    <w:jc w:val="left"/>
                  </w:pPr>
                  <w:r>
                    <w:rPr/>
                    <w:t>Category 2</w:t>
                  </w:r>
                </w:p>
              </w:tc>
              <w:tc>
                <w:tcPr>
                  <w:tcW w:type="dxa" w:w="1833"/>
                  <w:tcBorders/>
                  <w:shd w:fill="auto" w:val="clear"/>
                  <w:tcMar>
                    <w:top w:type="dxa" w:w="0"/>
                    <w:left w:type="dxa" w:w="108"/>
                    <w:bottom w:type="dxa" w:w="0"/>
                    <w:right w:type="dxa" w:w="108"/>
                  </w:tcMar>
                </w:tcPr>
                <w:p>
                  <w:pPr>
                    <w:pStyle w:val="style70"/>
                    <w:spacing w:after="60" w:before="60"/>
                    <w:jc w:val="center"/>
                  </w:pPr>
                  <w:r>
                    <w:rPr/>
                    <w:t>234</w:t>
                  </w:r>
                </w:p>
              </w:tc>
              <w:tc>
                <w:tcPr>
                  <w:tcW w:type="dxa" w:w="1834"/>
                  <w:tcBorders/>
                  <w:shd w:fill="auto" w:val="clear"/>
                  <w:tcMar>
                    <w:top w:type="dxa" w:w="0"/>
                    <w:left w:type="dxa" w:w="108"/>
                    <w:bottom w:type="dxa" w:w="0"/>
                    <w:right w:type="dxa" w:w="108"/>
                  </w:tcMar>
                </w:tcPr>
                <w:p>
                  <w:pPr>
                    <w:pStyle w:val="style70"/>
                    <w:spacing w:after="60" w:before="60"/>
                    <w:jc w:val="center"/>
                  </w:pPr>
                  <w:r>
                    <w:rPr/>
                    <w:t>345</w:t>
                  </w:r>
                </w:p>
              </w:tc>
            </w:tr>
            <w:tr>
              <w:trPr>
                <w:cantSplit w:val="false"/>
              </w:trPr>
              <w:tc>
                <w:tcPr>
                  <w:tcW w:type="dxa" w:w="1728"/>
                  <w:tcBorders/>
                  <w:shd w:fill="auto" w:val="clear"/>
                  <w:tcMar>
                    <w:top w:type="dxa" w:w="0"/>
                    <w:left w:type="dxa" w:w="108"/>
                    <w:bottom w:type="dxa" w:w="0"/>
                    <w:right w:type="dxa" w:w="108"/>
                  </w:tcMar>
                </w:tcPr>
                <w:p>
                  <w:pPr>
                    <w:pStyle w:val="style71"/>
                    <w:spacing w:after="60" w:before="60"/>
                    <w:jc w:val="left"/>
                  </w:pPr>
                  <w:r>
                    <w:rPr/>
                    <w:t>Category 3</w:t>
                  </w:r>
                </w:p>
              </w:tc>
              <w:tc>
                <w:tcPr>
                  <w:tcW w:type="dxa" w:w="1833"/>
                  <w:tcBorders/>
                  <w:shd w:fill="auto" w:val="clear"/>
                  <w:tcMar>
                    <w:top w:type="dxa" w:w="0"/>
                    <w:left w:type="dxa" w:w="108"/>
                    <w:bottom w:type="dxa" w:w="0"/>
                    <w:right w:type="dxa" w:w="108"/>
                  </w:tcMar>
                </w:tcPr>
                <w:p>
                  <w:pPr>
                    <w:pStyle w:val="style70"/>
                    <w:spacing w:after="60" w:before="60"/>
                    <w:jc w:val="center"/>
                  </w:pPr>
                  <w:r>
                    <w:rPr/>
                    <w:t>345</w:t>
                  </w:r>
                </w:p>
              </w:tc>
              <w:tc>
                <w:tcPr>
                  <w:tcW w:type="dxa" w:w="1834"/>
                  <w:tcBorders/>
                  <w:shd w:fill="auto" w:val="clear"/>
                  <w:tcMar>
                    <w:top w:type="dxa" w:w="0"/>
                    <w:left w:type="dxa" w:w="108"/>
                    <w:bottom w:type="dxa" w:w="0"/>
                    <w:right w:type="dxa" w:w="108"/>
                  </w:tcMar>
                </w:tcPr>
                <w:p>
                  <w:pPr>
                    <w:pStyle w:val="style70"/>
                    <w:spacing w:after="60" w:before="60"/>
                    <w:jc w:val="center"/>
                  </w:pPr>
                  <w:r>
                    <w:rPr/>
                    <w:t>123</w:t>
                  </w:r>
                </w:p>
              </w:tc>
            </w:tr>
            <w:tr>
              <w:trPr>
                <w:cantSplit w:val="false"/>
              </w:trPr>
              <w:tc>
                <w:tcPr>
                  <w:tcW w:type="dxa" w:w="1728"/>
                  <w:tcBorders/>
                  <w:shd w:fill="D1D0C8" w:val="clear"/>
                  <w:tcMar>
                    <w:top w:type="dxa" w:w="0"/>
                    <w:left w:type="dxa" w:w="108"/>
                    <w:bottom w:type="dxa" w:w="0"/>
                    <w:right w:type="dxa" w:w="108"/>
                  </w:tcMar>
                </w:tcPr>
                <w:p>
                  <w:pPr>
                    <w:pStyle w:val="style71"/>
                    <w:spacing w:after="60" w:before="60"/>
                    <w:jc w:val="left"/>
                  </w:pPr>
                  <w:r>
                    <w:rPr/>
                    <w:t>Category 4</w:t>
                  </w:r>
                  <w:r>
                    <w:rPr>
                      <w:rStyle w:val="style58"/>
                    </w:rPr>
                    <w:footnoteReference w:id="2"/>
                  </w:r>
                </w:p>
              </w:tc>
              <w:tc>
                <w:tcPr>
                  <w:tcW w:type="dxa" w:w="1833"/>
                  <w:tcBorders/>
                  <w:shd w:fill="D1D0C8" w:val="clear"/>
                  <w:tcMar>
                    <w:top w:type="dxa" w:w="0"/>
                    <w:left w:type="dxa" w:w="108"/>
                    <w:bottom w:type="dxa" w:w="0"/>
                    <w:right w:type="dxa" w:w="108"/>
                  </w:tcMar>
                </w:tcPr>
                <w:p>
                  <w:pPr>
                    <w:pStyle w:val="style70"/>
                    <w:spacing w:after="60" w:before="60"/>
                    <w:jc w:val="center"/>
                  </w:pPr>
                  <w:r>
                    <w:rPr/>
                    <w:t>456</w:t>
                  </w:r>
                </w:p>
              </w:tc>
              <w:tc>
                <w:tcPr>
                  <w:tcW w:type="dxa" w:w="1834"/>
                  <w:tcBorders/>
                  <w:shd w:fill="D1D0C8" w:val="clear"/>
                  <w:tcMar>
                    <w:top w:type="dxa" w:w="0"/>
                    <w:left w:type="dxa" w:w="108"/>
                    <w:bottom w:type="dxa" w:w="0"/>
                    <w:right w:type="dxa" w:w="108"/>
                  </w:tcMar>
                </w:tcPr>
                <w:p>
                  <w:pPr>
                    <w:pStyle w:val="style70"/>
                    <w:spacing w:after="60" w:before="60"/>
                    <w:jc w:val="center"/>
                  </w:pPr>
                  <w:r>
                    <w:rPr/>
                    <w:t>543</w:t>
                  </w:r>
                </w:p>
              </w:tc>
            </w:tr>
          </w:tbl>
          <w:p>
            <w:pPr>
              <w:pStyle w:val="style0"/>
              <w:jc w:val="center"/>
            </w:pPr>
            <w:r>
              <w:rPr/>
            </w:r>
          </w:p>
        </w:tc>
        <w:tc>
          <w:tcPr>
            <w:tcW w:type="dxa" w:w="5405"/>
            <w:tcBorders/>
            <w:shd w:fill="auto" w:val="clear"/>
            <w:tcMar>
              <w:top w:type="dxa" w:w="0"/>
              <w:left w:type="dxa" w:w="108"/>
              <w:bottom w:type="dxa" w:w="0"/>
              <w:right w:type="dxa" w:w="108"/>
            </w:tcMar>
          </w:tcPr>
          <w:p>
            <w:pPr>
              <w:pStyle w:val="style62"/>
              <w:spacing w:after="0" w:before="200"/>
            </w:pPr>
            <w:r>
              <w:rPr/>
            </w:r>
          </w:p>
        </w:tc>
      </w:tr>
    </w:tbl>
    <w:p>
      <w:pPr>
        <w:pStyle w:val="style2"/>
        <w:numPr>
          <w:ilvl w:val="1"/>
          <w:numId w:val="1"/>
        </w:numPr>
      </w:pPr>
      <w:r>
        <w:rPr/>
        <w:t xml:space="preserve">Nam nec nisi. </w:t>
      </w:r>
    </w:p>
    <w:p>
      <w:pPr>
        <w:pStyle w:val="style62"/>
      </w:pPr>
      <w:r>
        <w:rPr/>
        <w:t xml:space="preserve">Cras urna. Vestibulum eleifend vulputate diam. Phasellus metus. Vivamus vehicula pede vitae nulla accumsan ornare. Maecenas metus mauris, semper consequat, luctus vitae, euismod eu, magna. </w:t>
      </w:r>
    </w:p>
    <w:p>
      <w:pPr>
        <w:pStyle w:val="style77"/>
      </w:pPr>
      <w:r>
        <w:rPr/>
      </w:r>
    </w:p>
    <w:p>
      <w:pPr>
        <w:pStyle w:val="style73"/>
      </w:pPr>
      <w:r>
        <w:rPr/>
        <w:t>Nullam convallis sollicitudin augue. Lorem ipsum dolor sit amet, consectetuer adipiscing elit. Nunc non ante. Etiam interdum lacus vitae lectus.</w:t>
      </w:r>
    </w:p>
    <w:p>
      <w:pPr>
        <w:pStyle w:val="style73"/>
      </w:pPr>
      <w:r>
        <w:rPr/>
        <w:t xml:space="preserve">Ut tincidunt, orci nec facilisis sollicitudin, risus massa porttitor lacus, sit amet adipiscing lectus orci fermentum metus. Morbi vitae ligula eu turpis aliquet bibendum. </w:t>
      </w:r>
    </w:p>
    <w:p>
      <w:pPr>
        <w:pStyle w:val="style73"/>
      </w:pPr>
      <w:r>
        <w:rPr/>
        <w:t>Morbi elit dui, tempus vel, tristique quis, pulvinar sed, sem. Suspendisse id odio sed orci accumsan laoreet. Sed feugiat purus sit amet risus</w:t>
      </w:r>
      <w:r>
        <w:rPr>
          <w:rStyle w:val="style21"/>
        </w:rPr>
        <w:t>.</w:t>
      </w:r>
    </w:p>
    <w:p>
      <w:pPr>
        <w:pStyle w:val="style0"/>
      </w:pPr>
      <w:r>
        <w:rPr/>
        <w:t xml:space="preserve"> </w:t>
      </w:r>
    </w:p>
    <w:sectPr>
      <w:footerReference r:id="rId4" w:type="default"/>
      <w:type w:val="nextPage"/>
      <w:pgSz w:h="15840" w:w="12240"/>
      <w:pgMar w:bottom="777" w:footer="720" w:gutter="0" w:header="0" w:left="720" w:right="720" w:top="720"/>
      <w:pgNumType w:fmt="decimal"/>
      <w:formProt w:val="false"/>
      <w:textDirection w:val="lrTb"/>
      <w:docGrid w:charSpace="2047"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sto MT">
    <w:charset w:val="80"/>
    <w:family w:val="roman"/>
    <w:pitch w:val="variable"/>
  </w:font>
  <w:font w:name="Symbol">
    <w:charset w:val="80"/>
    <w:family w:val="auto"/>
    <w:pitch w:val="default"/>
  </w:font>
  <w:font w:name="Courier New">
    <w:charset w:val="80"/>
    <w:family w:val="modern"/>
    <w:pitch w:val="fixed"/>
  </w:font>
  <w:font w:name="Wingding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80"/>
      <w:spacing w:after="0" w:before="300"/>
      <w:jc w:val="left"/>
    </w:pPr>
    <w:r>
      <w:rPr/>
      <w:t>Single Family Rental Risk and Performance Evaluation</w:t>
    </w:r>
  </w:p>
  <w:p>
    <w:pPr>
      <w:pStyle w:val="style67"/>
    </w:pPr>
    <w:r>
      <w:rPr/>
      <w:t>3</w:t>
    </w:r>
  </w:p>
  <w:p>
    <w:pPr>
      <w:pStyle w:val="style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80"/>
      <w:spacing w:after="0" w:before="300"/>
      <w:jc w:val="left"/>
    </w:pPr>
    <w:r>
      <w:rPr/>
      <w:t>Single Family Rental Risk and Performance Evaluation</w:t>
    </w:r>
  </w:p>
  <w:p>
    <w:pPr>
      <w:pStyle w:val="style67"/>
    </w:pPr>
    <w:r>
      <w:rPr/>
      <w:t>3</w:t>
    </w:r>
  </w:p>
  <w:p>
    <w:pPr>
      <w:pStyle w:val="style0"/>
    </w:pPr>
    <w:r>
      <w:rPr/>
    </w:r>
  </w:p>
</w:ftr>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76"/>
      </w:pPr>
      <w:r>
        <w:rPr>
          <w:rStyle w:val="style23"/>
        </w:rPr>
        <w:footnoteRef/>
        <w:tab/>
      </w:r>
      <w:r>
        <w:rPr/>
        <w:t xml:space="preserve"> </w:t>
      </w:r>
    </w:p>
    <w:p>
      <w:pPr>
        <w:pStyle w:val="style155"/>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81"/>
    </w:pPr>
    <w:r>
      <w:rPr/>
    </w:r>
  </w:p>
  <w:p>
    <w:pPr>
      <w:pStyle w:val="style81"/>
    </w:pPr>
    <w:r>
      <w:rPr/>
    </w:r>
  </w:p>
  <w:p>
    <w:pPr>
      <w:pStyle w:val="style68"/>
    </w:pPr>
    <w:r>
      <w:rPr/>
      <w:t>VisulateVisulate</w:t>
    </w:r>
    <w:r>
      <w:rPr/>
    </w:r>
    <w:r>
      <w:rPr/>
      <w:t>Visulate</w:t>
    </w:r>
  </w:p>
  <w:p>
    <w:pPr>
      <w:pStyle w:val="style69"/>
    </w:pPr>
    <w:r>
      <w:rPr/>
      <w:t>790 Pine Pl790 Pine Pl</w:t>
    </w:r>
    <w:r>
      <w:rPr/>
    </w:r>
    <w:r>
      <w:rPr/>
      <w:t>790 Pine Pl</w:t>
      <w:br/>
      <w:t>Merritt IslandMerritt Island</w:t>
    </w:r>
    <w:r>
      <w:rPr/>
    </w:r>
    <w:r>
      <w:rPr/>
      <w:t>Merritt Island, FloridaFlorida</w:t>
    </w:r>
    <w:r>
      <w:rPr/>
    </w:r>
    <w:r>
      <w:rPr/>
      <w:t>Florida 3295232952</w:t>
    </w:r>
    <w:r>
      <w:rPr/>
    </w:r>
    <w:r>
      <w:rPr/>
      <w:t>32952</w:t>
      <w:br/>
      <w:t>Phone: (321) 453 7389(321) 453 7389</w:t>
    </w:r>
    <w:r>
      <w:rPr/>
    </w:r>
    <w:r>
      <w:rPr/>
      <w:t xml:space="preserve">(321) 453 7389 </w:t>
      <w:br/>
      <w:t>E-Mail: sales@visulate.comsales@visulate.com</w:t>
    </w:r>
    <w:r>
      <w:rPr/>
    </w:r>
    <w:r>
      <w:rPr/>
      <w:t>sales@visulate.com</w:t>
      <w:br/>
      <w:t>Web:  http://visulate.com</w:t>
    </w:r>
  </w:p>
  <w:p>
    <w:pPr>
      <w:pStyle w:val="style81"/>
    </w:pPr>
    <w:r>
      <w:rPr/>
    </w:r>
  </w:p>
  <w:p>
    <w:pPr>
      <w:pStyle w:val="style81"/>
    </w:pPr>
    <w:r>
      <w:rPr/>
    </w:r>
  </w:p>
  <w:p>
    <w:pPr>
      <w:pStyle w:val="style66"/>
      <w:suppressLineNumbers/>
      <w:tabs>
        <w:tab w:leader="none" w:pos="4986" w:val="center"/>
        <w:tab w:leader="none" w:pos="9972" w:val="right"/>
      </w:tabs>
      <w:spacing w:after="200" w:before="0"/>
      <w:ind w:hanging="0" w:left="0" w:right="144"/>
      <w:jc w:val="right"/>
    </w:pPr>
    <w:r>
      <w:rPr/>
    </w:r>
  </w:p>
</w:hdr>
</file>

<file path=word/numbering.xml><?xml version="1.0" encoding="utf-8"?>
<w:numbering xmlns:w="http://schemas.openxmlformats.org/wordprocessingml/2006/main">
  <w:abstractNum w:abstractNumId="1">
    <w:lvl w:ilvl="0">
      <w:start w:val="1"/>
      <w:numFmt w:val="decimal"/>
      <w:lvlText w:val="%1."/>
      <w:lvlJc w:val="left"/>
      <w:pPr>
        <w:tabs>
          <w:tab w:pos="1800" w:val="num"/>
        </w:tabs>
        <w:ind w:hanging="360" w:left="1800"/>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listo MT" w:cs="" w:eastAsia="DejaVu Sans" w:hAnsi="Calisto MT"/>
      <w:color w:val="404040"/>
      <w:sz w:val="20"/>
      <w:szCs w:val="22"/>
      <w:lang w:bidi="ar-SA" w:eastAsia="en-US" w:val="en-US"/>
    </w:rPr>
  </w:style>
  <w:style w:styleId="style1" w:type="paragraph">
    <w:name w:val="Heading 1"/>
    <w:basedOn w:val="style0"/>
    <w:next w:val="style62"/>
    <w:pPr>
      <w:keepNext/>
      <w:keepLines/>
      <w:pageBreakBefore/>
      <w:spacing w:after="0" w:before="480"/>
    </w:pPr>
    <w:rPr>
      <w:rFonts w:ascii="Calisto MT" w:cs="" w:hAnsi="Calisto MT"/>
      <w:bCs/>
      <w:color w:val="7C8F97"/>
      <w:sz w:val="40"/>
      <w:szCs w:val="28"/>
    </w:rPr>
  </w:style>
  <w:style w:styleId="style2" w:type="paragraph">
    <w:name w:val="Heading 2"/>
    <w:basedOn w:val="style0"/>
    <w:next w:val="style62"/>
    <w:pPr>
      <w:keepNext/>
      <w:keepLines/>
      <w:numPr>
        <w:ilvl w:val="1"/>
        <w:numId w:val="1"/>
      </w:numPr>
      <w:spacing w:after="100" w:before="200"/>
      <w:outlineLvl w:val="1"/>
    </w:pPr>
    <w:rPr>
      <w:rFonts w:ascii="Calisto MT" w:cs="" w:hAnsi="Calisto MT"/>
      <w:bCs/>
      <w:color w:val="4B5A60"/>
      <w:sz w:val="24"/>
      <w:szCs w:val="26"/>
    </w:rPr>
  </w:style>
  <w:style w:styleId="style3" w:type="paragraph">
    <w:name w:val="Heading 3"/>
    <w:basedOn w:val="style0"/>
    <w:next w:val="style62"/>
    <w:pPr>
      <w:keepNext/>
      <w:keepLines/>
      <w:numPr>
        <w:ilvl w:val="2"/>
        <w:numId w:val="1"/>
      </w:numPr>
      <w:spacing w:after="0" w:before="200"/>
      <w:outlineLvl w:val="2"/>
    </w:pPr>
    <w:rPr>
      <w:rFonts w:ascii="Calisto MT" w:cs="" w:hAnsi="Calisto MT"/>
      <w:b/>
      <w:bCs/>
      <w:color w:val="7C8F97"/>
    </w:rPr>
  </w:style>
  <w:style w:styleId="style4" w:type="paragraph">
    <w:name w:val="Heading 4"/>
    <w:basedOn w:val="style0"/>
    <w:next w:val="style62"/>
    <w:pPr>
      <w:keepNext/>
      <w:keepLines/>
      <w:numPr>
        <w:ilvl w:val="3"/>
        <w:numId w:val="1"/>
      </w:numPr>
      <w:spacing w:after="0" w:before="200"/>
      <w:outlineLvl w:val="3"/>
    </w:pPr>
    <w:rPr>
      <w:rFonts w:ascii="Calisto MT" w:cs="" w:hAnsi="Calisto MT"/>
      <w:b/>
      <w:bCs/>
      <w:i/>
      <w:iCs/>
      <w:color w:val="7C8F97"/>
    </w:rPr>
  </w:style>
  <w:style w:styleId="style5" w:type="paragraph">
    <w:name w:val="Heading 5"/>
    <w:basedOn w:val="style0"/>
    <w:next w:val="style62"/>
    <w:pPr>
      <w:keepNext/>
      <w:keepLines/>
      <w:numPr>
        <w:ilvl w:val="4"/>
        <w:numId w:val="1"/>
      </w:numPr>
      <w:spacing w:after="0" w:before="200"/>
      <w:outlineLvl w:val="4"/>
    </w:pPr>
    <w:rPr>
      <w:rFonts w:ascii="Calisto MT" w:cs="" w:hAnsi="Calisto MT"/>
      <w:color w:val="3C474C"/>
    </w:rPr>
  </w:style>
  <w:style w:styleId="style6" w:type="paragraph">
    <w:name w:val="Heading 6"/>
    <w:basedOn w:val="style0"/>
    <w:next w:val="style62"/>
    <w:pPr>
      <w:keepNext/>
      <w:keepLines/>
      <w:numPr>
        <w:ilvl w:val="5"/>
        <w:numId w:val="1"/>
      </w:numPr>
      <w:spacing w:after="0" w:before="200"/>
      <w:outlineLvl w:val="5"/>
    </w:pPr>
    <w:rPr>
      <w:rFonts w:ascii="Calisto MT" w:cs="" w:hAnsi="Calisto MT"/>
      <w:i/>
      <w:iCs/>
      <w:color w:val="3C474C"/>
    </w:rPr>
  </w:style>
  <w:style w:styleId="style7" w:type="paragraph">
    <w:name w:val="Heading 7"/>
    <w:basedOn w:val="style0"/>
    <w:next w:val="style62"/>
    <w:pPr>
      <w:keepNext/>
      <w:keepLines/>
      <w:numPr>
        <w:ilvl w:val="6"/>
        <w:numId w:val="1"/>
      </w:numPr>
      <w:spacing w:after="0" w:before="200"/>
      <w:outlineLvl w:val="6"/>
    </w:pPr>
    <w:rPr>
      <w:rFonts w:ascii="Calisto MT" w:cs="" w:hAnsi="Calisto MT"/>
      <w:i/>
      <w:iCs/>
    </w:rPr>
  </w:style>
  <w:style w:styleId="style8" w:type="paragraph">
    <w:name w:val="Heading 8"/>
    <w:basedOn w:val="style0"/>
    <w:next w:val="style62"/>
    <w:pPr>
      <w:keepNext/>
      <w:keepLines/>
      <w:numPr>
        <w:ilvl w:val="7"/>
        <w:numId w:val="1"/>
      </w:numPr>
      <w:spacing w:after="0" w:before="200"/>
      <w:outlineLvl w:val="7"/>
    </w:pPr>
    <w:rPr>
      <w:rFonts w:ascii="Calisto MT" w:cs="" w:hAnsi="Calisto MT"/>
      <w:szCs w:val="20"/>
    </w:rPr>
  </w:style>
  <w:style w:styleId="style9" w:type="paragraph">
    <w:name w:val="Heading 9"/>
    <w:basedOn w:val="style0"/>
    <w:next w:val="style62"/>
    <w:pPr>
      <w:keepNext/>
      <w:keepLines/>
      <w:numPr>
        <w:ilvl w:val="8"/>
        <w:numId w:val="1"/>
      </w:numPr>
      <w:spacing w:after="0" w:before="200"/>
      <w:outlineLvl w:val="8"/>
    </w:pPr>
    <w:rPr>
      <w:rFonts w:ascii="Calisto MT" w:cs="" w:hAnsi="Calisto MT"/>
      <w:i/>
      <w:iCs/>
      <w:szCs w:val="20"/>
    </w:rPr>
  </w:style>
  <w:style w:styleId="style15" w:type="character">
    <w:name w:val="Default Paragraph Font"/>
    <w:next w:val="style15"/>
    <w:rPr/>
  </w:style>
  <w:style w:styleId="style16" w:type="character">
    <w:name w:val="Heading 1 Char"/>
    <w:basedOn w:val="style15"/>
    <w:next w:val="style16"/>
    <w:rPr>
      <w:rFonts w:ascii="Calisto MT" w:cs="" w:hAnsi="Calisto MT"/>
      <w:bCs/>
      <w:color w:val="7C8F97"/>
      <w:sz w:val="40"/>
      <w:szCs w:val="28"/>
    </w:rPr>
  </w:style>
  <w:style w:styleId="style17" w:type="character">
    <w:name w:val="Heading 2 Char"/>
    <w:basedOn w:val="style15"/>
    <w:next w:val="style17"/>
    <w:rPr>
      <w:rFonts w:ascii="Calisto MT" w:cs="" w:hAnsi="Calisto MT"/>
      <w:bCs/>
      <w:color w:val="4B5A60"/>
      <w:sz w:val="24"/>
      <w:szCs w:val="26"/>
    </w:rPr>
  </w:style>
  <w:style w:styleId="style18" w:type="character">
    <w:name w:val="Header Char"/>
    <w:basedOn w:val="style15"/>
    <w:next w:val="style18"/>
    <w:rPr>
      <w:color w:val="4B5A60"/>
      <w:sz w:val="20"/>
      <w:szCs w:val="24"/>
    </w:rPr>
  </w:style>
  <w:style w:styleId="style19" w:type="character">
    <w:name w:val="Footer Char"/>
    <w:basedOn w:val="style15"/>
    <w:next w:val="style19"/>
    <w:rPr>
      <w:color w:val="7C8F97"/>
      <w:sz w:val="20"/>
      <w:szCs w:val="16"/>
    </w:rPr>
  </w:style>
  <w:style w:styleId="style20" w:type="character">
    <w:name w:val="Body Text Char"/>
    <w:basedOn w:val="style15"/>
    <w:next w:val="style20"/>
    <w:rPr>
      <w:color w:val="404040"/>
      <w:sz w:val="20"/>
      <w:szCs w:val="20"/>
    </w:rPr>
  </w:style>
  <w:style w:styleId="style21" w:type="character">
    <w:name w:val="Placeholder Text"/>
    <w:basedOn w:val="style15"/>
    <w:next w:val="style21"/>
    <w:rPr>
      <w:color w:val="808080"/>
    </w:rPr>
  </w:style>
  <w:style w:styleId="style22" w:type="character">
    <w:name w:val="Date Char"/>
    <w:basedOn w:val="style15"/>
    <w:next w:val="style22"/>
    <w:rPr>
      <w:color w:val="4B5A60"/>
      <w:sz w:val="24"/>
      <w:szCs w:val="24"/>
    </w:rPr>
  </w:style>
  <w:style w:styleId="style23" w:type="character">
    <w:name w:val="footnote reference"/>
    <w:basedOn w:val="style15"/>
    <w:next w:val="style23"/>
    <w:rPr>
      <w:vertAlign w:val="superscript"/>
    </w:rPr>
  </w:style>
  <w:style w:styleId="style24" w:type="character">
    <w:name w:val="Footnote Text Char"/>
    <w:basedOn w:val="style15"/>
    <w:next w:val="style24"/>
    <w:rPr>
      <w:color w:val="404040"/>
      <w:sz w:val="18"/>
      <w:szCs w:val="20"/>
    </w:rPr>
  </w:style>
  <w:style w:styleId="style25" w:type="character">
    <w:name w:val="Subtitle Char"/>
    <w:basedOn w:val="style15"/>
    <w:next w:val="style25"/>
    <w:rPr>
      <w:rFonts w:ascii="Calisto MT" w:cs="" w:hAnsi="Calisto MT"/>
      <w:iCs/>
      <w:color w:val="4B5A60"/>
      <w:sz w:val="32"/>
      <w:szCs w:val="32"/>
    </w:rPr>
  </w:style>
  <w:style w:styleId="style26" w:type="character">
    <w:name w:val="Title Char"/>
    <w:basedOn w:val="style15"/>
    <w:next w:val="style26"/>
    <w:rPr>
      <w:rFonts w:ascii="Calisto MT" w:cs="" w:hAnsi="Calisto MT"/>
      <w:color w:val="7C8F97"/>
      <w:sz w:val="80"/>
      <w:szCs w:val="60"/>
    </w:rPr>
  </w:style>
  <w:style w:styleId="style27" w:type="character">
    <w:name w:val="Balloon Text Char"/>
    <w:basedOn w:val="style15"/>
    <w:next w:val="style27"/>
    <w:rPr>
      <w:rFonts w:ascii="Tahoma" w:cs="Tahoma" w:hAnsi="Tahoma"/>
      <w:color w:val="404040"/>
      <w:sz w:val="16"/>
      <w:szCs w:val="16"/>
    </w:rPr>
  </w:style>
  <w:style w:styleId="style28" w:type="character">
    <w:name w:val="Body Text 3 Char"/>
    <w:basedOn w:val="style15"/>
    <w:next w:val="style28"/>
    <w:rPr>
      <w:color w:val="404040"/>
      <w:sz w:val="16"/>
      <w:szCs w:val="16"/>
    </w:rPr>
  </w:style>
  <w:style w:styleId="style29" w:type="character">
    <w:name w:val="Body Text First Indent Char"/>
    <w:basedOn w:val="style20"/>
    <w:next w:val="style29"/>
    <w:rPr>
      <w:color w:val="404040"/>
      <w:sz w:val="20"/>
      <w:szCs w:val="20"/>
    </w:rPr>
  </w:style>
  <w:style w:styleId="style30" w:type="character">
    <w:name w:val="Body Text 2 Char"/>
    <w:basedOn w:val="style15"/>
    <w:next w:val="style30"/>
    <w:rPr>
      <w:color w:val="404040"/>
      <w:sz w:val="20"/>
    </w:rPr>
  </w:style>
  <w:style w:styleId="style31" w:type="character">
    <w:name w:val="Body Text First Indent 2 Char"/>
    <w:basedOn w:val="style30"/>
    <w:next w:val="style31"/>
    <w:rPr>
      <w:color w:val="404040"/>
      <w:sz w:val="20"/>
    </w:rPr>
  </w:style>
  <w:style w:styleId="style32" w:type="character">
    <w:name w:val="Body Text Indent 2 Char"/>
    <w:basedOn w:val="style15"/>
    <w:next w:val="style32"/>
    <w:rPr>
      <w:color w:val="404040"/>
      <w:sz w:val="20"/>
    </w:rPr>
  </w:style>
  <w:style w:styleId="style33" w:type="character">
    <w:name w:val="Body Text Indent 3 Char"/>
    <w:basedOn w:val="style15"/>
    <w:next w:val="style33"/>
    <w:rPr>
      <w:color w:val="404040"/>
      <w:sz w:val="16"/>
      <w:szCs w:val="16"/>
    </w:rPr>
  </w:style>
  <w:style w:styleId="style34" w:type="character">
    <w:name w:val="Closing Char"/>
    <w:basedOn w:val="style15"/>
    <w:next w:val="style34"/>
    <w:rPr>
      <w:color w:val="404040"/>
      <w:sz w:val="20"/>
    </w:rPr>
  </w:style>
  <w:style w:styleId="style35" w:type="character">
    <w:name w:val="Comment Text Char"/>
    <w:basedOn w:val="style15"/>
    <w:next w:val="style35"/>
    <w:rPr>
      <w:color w:val="404040"/>
      <w:sz w:val="20"/>
      <w:szCs w:val="20"/>
    </w:rPr>
  </w:style>
  <w:style w:styleId="style36" w:type="character">
    <w:name w:val="Comment Subject Char"/>
    <w:basedOn w:val="style35"/>
    <w:next w:val="style36"/>
    <w:rPr>
      <w:b/>
      <w:bCs/>
      <w:color w:val="404040"/>
      <w:sz w:val="20"/>
      <w:szCs w:val="20"/>
    </w:rPr>
  </w:style>
  <w:style w:styleId="style37" w:type="character">
    <w:name w:val="Document Map Char"/>
    <w:basedOn w:val="style15"/>
    <w:next w:val="style37"/>
    <w:rPr>
      <w:rFonts w:ascii="Tahoma" w:cs="Tahoma" w:hAnsi="Tahoma"/>
      <w:color w:val="404040"/>
      <w:sz w:val="16"/>
      <w:szCs w:val="16"/>
    </w:rPr>
  </w:style>
  <w:style w:styleId="style38" w:type="character">
    <w:name w:val="E-mail Signature Char"/>
    <w:basedOn w:val="style15"/>
    <w:next w:val="style38"/>
    <w:rPr>
      <w:color w:val="404040"/>
      <w:sz w:val="20"/>
    </w:rPr>
  </w:style>
  <w:style w:styleId="style39" w:type="character">
    <w:name w:val="Endnote Text Char"/>
    <w:basedOn w:val="style15"/>
    <w:next w:val="style39"/>
    <w:rPr>
      <w:color w:val="404040"/>
      <w:sz w:val="20"/>
      <w:szCs w:val="20"/>
    </w:rPr>
  </w:style>
  <w:style w:styleId="style40" w:type="character">
    <w:name w:val="Heading 3 Char"/>
    <w:basedOn w:val="style15"/>
    <w:next w:val="style40"/>
    <w:rPr>
      <w:rFonts w:ascii="Calisto MT" w:cs="" w:hAnsi="Calisto MT"/>
      <w:b/>
      <w:bCs/>
      <w:color w:val="7C8F97"/>
      <w:sz w:val="20"/>
    </w:rPr>
  </w:style>
  <w:style w:styleId="style41" w:type="character">
    <w:name w:val="Heading 4 Char"/>
    <w:basedOn w:val="style15"/>
    <w:next w:val="style41"/>
    <w:rPr>
      <w:rFonts w:ascii="Calisto MT" w:cs="" w:hAnsi="Calisto MT"/>
      <w:b/>
      <w:bCs/>
      <w:i/>
      <w:iCs/>
      <w:color w:val="7C8F97"/>
      <w:sz w:val="20"/>
    </w:rPr>
  </w:style>
  <w:style w:styleId="style42" w:type="character">
    <w:name w:val="Heading 5 Char"/>
    <w:basedOn w:val="style15"/>
    <w:next w:val="style42"/>
    <w:rPr>
      <w:rFonts w:ascii="Calisto MT" w:cs="" w:hAnsi="Calisto MT"/>
      <w:color w:val="3C474C"/>
      <w:sz w:val="20"/>
    </w:rPr>
  </w:style>
  <w:style w:styleId="style43" w:type="character">
    <w:name w:val="Heading 6 Char"/>
    <w:basedOn w:val="style15"/>
    <w:next w:val="style43"/>
    <w:rPr>
      <w:rFonts w:ascii="Calisto MT" w:cs="" w:hAnsi="Calisto MT"/>
      <w:i/>
      <w:iCs/>
      <w:color w:val="3C474C"/>
      <w:sz w:val="20"/>
    </w:rPr>
  </w:style>
  <w:style w:styleId="style44" w:type="character">
    <w:name w:val="Heading 7 Char"/>
    <w:basedOn w:val="style15"/>
    <w:next w:val="style44"/>
    <w:rPr>
      <w:rFonts w:ascii="Calisto MT" w:cs="" w:hAnsi="Calisto MT"/>
      <w:i/>
      <w:iCs/>
      <w:color w:val="404040"/>
      <w:sz w:val="20"/>
    </w:rPr>
  </w:style>
  <w:style w:styleId="style45" w:type="character">
    <w:name w:val="Heading 8 Char"/>
    <w:basedOn w:val="style15"/>
    <w:next w:val="style45"/>
    <w:rPr>
      <w:rFonts w:ascii="Calisto MT" w:cs="" w:hAnsi="Calisto MT"/>
      <w:color w:val="404040"/>
      <w:sz w:val="20"/>
      <w:szCs w:val="20"/>
    </w:rPr>
  </w:style>
  <w:style w:styleId="style46" w:type="character">
    <w:name w:val="Heading 9 Char"/>
    <w:basedOn w:val="style15"/>
    <w:next w:val="style46"/>
    <w:rPr>
      <w:rFonts w:ascii="Calisto MT" w:cs="" w:hAnsi="Calisto MT"/>
      <w:i/>
      <w:iCs/>
      <w:color w:val="404040"/>
      <w:sz w:val="20"/>
      <w:szCs w:val="20"/>
    </w:rPr>
  </w:style>
  <w:style w:styleId="style47" w:type="character">
    <w:name w:val="HTML Address Char"/>
    <w:basedOn w:val="style15"/>
    <w:next w:val="style47"/>
    <w:rPr>
      <w:i/>
      <w:iCs/>
      <w:color w:val="404040"/>
      <w:sz w:val="20"/>
    </w:rPr>
  </w:style>
  <w:style w:styleId="style48" w:type="character">
    <w:name w:val="HTML Preformatted Char"/>
    <w:basedOn w:val="style15"/>
    <w:next w:val="style48"/>
    <w:rPr>
      <w:rFonts w:ascii="Consolas" w:hAnsi="Consolas"/>
      <w:color w:val="404040"/>
      <w:sz w:val="20"/>
      <w:szCs w:val="20"/>
    </w:rPr>
  </w:style>
  <w:style w:styleId="style49" w:type="character">
    <w:name w:val="Intense Quote Char"/>
    <w:basedOn w:val="style15"/>
    <w:next w:val="style49"/>
    <w:rPr>
      <w:b/>
      <w:bCs/>
      <w:i/>
      <w:iCs/>
      <w:color w:val="7C8F97"/>
      <w:sz w:val="20"/>
    </w:rPr>
  </w:style>
  <w:style w:styleId="style50" w:type="character">
    <w:name w:val="Macro Text Char"/>
    <w:basedOn w:val="style15"/>
    <w:next w:val="style50"/>
    <w:rPr>
      <w:rFonts w:ascii="Consolas" w:hAnsi="Consolas"/>
      <w:color w:val="404040"/>
      <w:sz w:val="20"/>
      <w:szCs w:val="20"/>
    </w:rPr>
  </w:style>
  <w:style w:styleId="style51" w:type="character">
    <w:name w:val="Message Header Char"/>
    <w:basedOn w:val="style15"/>
    <w:next w:val="style51"/>
    <w:rPr>
      <w:rFonts w:ascii="Calisto MT" w:cs="" w:hAnsi="Calisto MT"/>
      <w:color w:val="404040"/>
      <w:sz w:val="24"/>
      <w:szCs w:val="24"/>
      <w:shd w:fill="CCCCCC" w:val="clear"/>
    </w:rPr>
  </w:style>
  <w:style w:styleId="style52" w:type="character">
    <w:name w:val="Note Heading Char"/>
    <w:basedOn w:val="style15"/>
    <w:next w:val="style52"/>
    <w:rPr>
      <w:color w:val="404040"/>
      <w:sz w:val="20"/>
    </w:rPr>
  </w:style>
  <w:style w:styleId="style53" w:type="character">
    <w:name w:val="Plain Text Char"/>
    <w:basedOn w:val="style15"/>
    <w:next w:val="style53"/>
    <w:rPr>
      <w:rFonts w:ascii="Consolas" w:hAnsi="Consolas"/>
      <w:color w:val="404040"/>
      <w:sz w:val="21"/>
      <w:szCs w:val="21"/>
    </w:rPr>
  </w:style>
  <w:style w:styleId="style54" w:type="character">
    <w:name w:val="Quote Char"/>
    <w:basedOn w:val="style15"/>
    <w:next w:val="style54"/>
    <w:rPr>
      <w:i/>
      <w:iCs/>
      <w:color w:val="000000"/>
      <w:sz w:val="20"/>
    </w:rPr>
  </w:style>
  <w:style w:styleId="style55" w:type="character">
    <w:name w:val="Salutation Char"/>
    <w:basedOn w:val="style15"/>
    <w:next w:val="style55"/>
    <w:rPr>
      <w:color w:val="404040"/>
      <w:sz w:val="20"/>
    </w:rPr>
  </w:style>
  <w:style w:styleId="style56" w:type="character">
    <w:name w:val="Signature Char"/>
    <w:basedOn w:val="style15"/>
    <w:next w:val="style56"/>
    <w:rPr>
      <w:color w:val="404040"/>
      <w:sz w:val="20"/>
    </w:rPr>
  </w:style>
  <w:style w:styleId="style57" w:type="character">
    <w:name w:val="Footnote Characters"/>
    <w:next w:val="style57"/>
    <w:rPr/>
  </w:style>
  <w:style w:styleId="style58" w:type="character">
    <w:name w:val="Footnote anchor"/>
    <w:next w:val="style58"/>
    <w:rPr>
      <w:vertAlign w:val="superscript"/>
    </w:rPr>
  </w:style>
  <w:style w:styleId="style59" w:type="character">
    <w:name w:val="Endnote anchor"/>
    <w:next w:val="style59"/>
    <w:rPr>
      <w:vertAlign w:val="superscript"/>
    </w:rPr>
  </w:style>
  <w:style w:styleId="style60" w:type="character">
    <w:name w:val="Endnote Characters"/>
    <w:next w:val="style60"/>
    <w:rPr/>
  </w:style>
  <w:style w:styleId="style61" w:type="paragraph">
    <w:name w:val="Heading"/>
    <w:basedOn w:val="style0"/>
    <w:next w:val="style62"/>
    <w:pPr>
      <w:keepNext/>
      <w:spacing w:after="120" w:before="240"/>
    </w:pPr>
    <w:rPr>
      <w:rFonts w:ascii="Liberation Sans" w:cs="Lohit Devanagari" w:eastAsia="DejaVu Sans" w:hAnsi="Liberation Sans"/>
      <w:sz w:val="28"/>
      <w:szCs w:val="28"/>
    </w:rPr>
  </w:style>
  <w:style w:styleId="style62" w:type="paragraph">
    <w:name w:val="Text body"/>
    <w:basedOn w:val="style0"/>
    <w:next w:val="style62"/>
    <w:pPr>
      <w:spacing w:after="0" w:before="200"/>
    </w:pPr>
    <w:rPr>
      <w:szCs w:val="20"/>
    </w:rPr>
  </w:style>
  <w:style w:styleId="style63" w:type="paragraph">
    <w:name w:val="List"/>
    <w:basedOn w:val="style0"/>
    <w:next w:val="style63"/>
    <w:pPr>
      <w:ind w:hanging="360" w:left="360" w:right="0"/>
    </w:pPr>
    <w:rPr>
      <w:rFonts w:cs="Lohit Devanagari"/>
    </w:rPr>
  </w:style>
  <w:style w:styleId="style64" w:type="paragraph">
    <w:name w:val="Caption"/>
    <w:basedOn w:val="style0"/>
    <w:next w:val="style64"/>
    <w:pPr>
      <w:suppressLineNumbers/>
      <w:spacing w:after="120" w:before="120"/>
    </w:pPr>
    <w:rPr>
      <w:rFonts w:cs="Lohit Devanagari"/>
      <w:i/>
      <w:iCs/>
      <w:sz w:val="24"/>
      <w:szCs w:val="24"/>
    </w:rPr>
  </w:style>
  <w:style w:styleId="style65" w:type="paragraph">
    <w:name w:val="Index"/>
    <w:basedOn w:val="style0"/>
    <w:next w:val="style65"/>
    <w:pPr>
      <w:suppressLineNumbers/>
    </w:pPr>
    <w:rPr>
      <w:rFonts w:cs="Lohit Devanagari"/>
    </w:rPr>
  </w:style>
  <w:style w:styleId="style66" w:type="paragraph">
    <w:name w:val="Header"/>
    <w:basedOn w:val="style0"/>
    <w:next w:val="style66"/>
    <w:pPr>
      <w:suppressLineNumbers/>
      <w:tabs>
        <w:tab w:leader="none" w:pos="4986" w:val="center"/>
        <w:tab w:leader="none" w:pos="9972" w:val="right"/>
      </w:tabs>
      <w:spacing w:after="200" w:before="0"/>
      <w:ind w:hanging="0" w:left="0" w:right="144"/>
      <w:jc w:val="right"/>
    </w:pPr>
    <w:rPr>
      <w:color w:val="4B5A60"/>
      <w:szCs w:val="24"/>
    </w:rPr>
  </w:style>
  <w:style w:styleId="style67" w:type="paragraph">
    <w:name w:val="Footer"/>
    <w:basedOn w:val="style0"/>
    <w:next w:val="style67"/>
    <w:pPr>
      <w:suppressLineNumbers/>
      <w:tabs>
        <w:tab w:leader="none" w:pos="4680" w:val="center"/>
        <w:tab w:leader="none" w:pos="9360" w:val="right"/>
      </w:tabs>
      <w:spacing w:after="0" w:before="300"/>
      <w:jc w:val="right"/>
    </w:pPr>
    <w:rPr>
      <w:color w:val="7C8F97"/>
      <w:szCs w:val="16"/>
    </w:rPr>
  </w:style>
  <w:style w:styleId="style68" w:type="paragraph">
    <w:name w:val="Header-Left"/>
    <w:basedOn w:val="style0"/>
    <w:next w:val="style68"/>
    <w:pPr>
      <w:spacing w:after="400" w:before="400"/>
      <w:ind w:hanging="0" w:left="216" w:right="0"/>
    </w:pPr>
    <w:rPr>
      <w:rFonts w:ascii="Calisto MT" w:cs="" w:hAnsi="Calisto MT"/>
      <w:color w:val="4B5A60"/>
      <w:sz w:val="40"/>
    </w:rPr>
  </w:style>
  <w:style w:styleId="style69" w:type="paragraph">
    <w:name w:val="Header-Right"/>
    <w:basedOn w:val="style0"/>
    <w:next w:val="style69"/>
    <w:pPr>
      <w:spacing w:after="80" w:before="80" w:line="220" w:lineRule="atLeast"/>
      <w:ind w:hanging="0" w:left="216" w:right="216"/>
    </w:pPr>
    <w:rPr>
      <w:color w:val="4B5A60"/>
      <w:sz w:val="16"/>
    </w:rPr>
  </w:style>
  <w:style w:styleId="style70" w:type="paragraph">
    <w:name w:val="Table Text"/>
    <w:basedOn w:val="style0"/>
    <w:next w:val="style70"/>
    <w:pPr>
      <w:spacing w:after="60" w:before="60"/>
      <w:jc w:val="center"/>
    </w:pPr>
    <w:rPr/>
  </w:style>
  <w:style w:styleId="style71" w:type="paragraph">
    <w:name w:val="Table Row Heading"/>
    <w:basedOn w:val="style70"/>
    <w:next w:val="style71"/>
    <w:pPr>
      <w:jc w:val="left"/>
    </w:pPr>
    <w:rPr>
      <w:color w:val="7C8F97"/>
    </w:rPr>
  </w:style>
  <w:style w:styleId="style72" w:type="paragraph">
    <w:name w:val="Date"/>
    <w:basedOn w:val="style0"/>
    <w:next w:val="style72"/>
    <w:pPr>
      <w:spacing w:after="0" w:before="480"/>
      <w:jc w:val="right"/>
    </w:pPr>
    <w:rPr>
      <w:color w:val="4B5A60"/>
      <w:sz w:val="24"/>
      <w:szCs w:val="24"/>
    </w:rPr>
  </w:style>
  <w:style w:styleId="style73" w:type="paragraph">
    <w:name w:val="List Bullet"/>
    <w:basedOn w:val="style0"/>
    <w:next w:val="style73"/>
    <w:pPr>
      <w:tabs>
        <w:tab w:leader="none" w:pos="1080" w:val="left"/>
      </w:tabs>
      <w:spacing w:after="200" w:before="0"/>
    </w:pPr>
    <w:rPr/>
  </w:style>
  <w:style w:styleId="style74" w:type="paragraph">
    <w:name w:val="Table Contents"/>
    <w:basedOn w:val="style0"/>
    <w:next w:val="style74"/>
    <w:pPr>
      <w:suppressLineNumbers/>
    </w:pPr>
    <w:rPr/>
  </w:style>
  <w:style w:styleId="style75" w:type="paragraph">
    <w:name w:val="Table Heading"/>
    <w:basedOn w:val="style62"/>
    <w:next w:val="style75"/>
    <w:pPr>
      <w:suppressLineNumbers/>
      <w:spacing w:after="40" w:before="200"/>
      <w:jc w:val="center"/>
    </w:pPr>
    <w:rPr>
      <w:b/>
      <w:bCs/>
      <w:color w:val="7C8F97"/>
    </w:rPr>
  </w:style>
  <w:style w:styleId="style76" w:type="paragraph">
    <w:name w:val="footnote text"/>
    <w:basedOn w:val="style0"/>
    <w:next w:val="style76"/>
    <w:pPr/>
    <w:rPr>
      <w:sz w:val="18"/>
      <w:szCs w:val="20"/>
    </w:rPr>
  </w:style>
  <w:style w:styleId="style77" w:type="paragraph">
    <w:name w:val="Graphic"/>
    <w:basedOn w:val="style62"/>
    <w:next w:val="style77"/>
    <w:pPr>
      <w:spacing w:after="360" w:before="360"/>
      <w:jc w:val="center"/>
    </w:pPr>
    <w:rPr>
      <w:sz w:val="18"/>
    </w:rPr>
  </w:style>
  <w:style w:styleId="style78" w:type="paragraph">
    <w:name w:val="Subtitle"/>
    <w:basedOn w:val="style0"/>
    <w:next w:val="style62"/>
    <w:pPr>
      <w:spacing w:after="0" w:before="160"/>
      <w:ind w:hanging="0" w:left="5314" w:right="0"/>
      <w:jc w:val="right"/>
    </w:pPr>
    <w:rPr>
      <w:rFonts w:ascii="Calisto MT" w:cs="" w:hAnsi="Calisto MT"/>
      <w:i/>
      <w:iCs/>
      <w:color w:val="4B5A60"/>
      <w:sz w:val="32"/>
      <w:szCs w:val="32"/>
    </w:rPr>
  </w:style>
  <w:style w:styleId="style79" w:type="paragraph">
    <w:name w:val="Title"/>
    <w:basedOn w:val="style0"/>
    <w:next w:val="style78"/>
    <w:pPr>
      <w:spacing w:after="0" w:before="360"/>
      <w:ind w:hanging="0" w:left="5310" w:right="0"/>
      <w:jc w:val="right"/>
    </w:pPr>
    <w:rPr>
      <w:rFonts w:ascii="Calisto MT" w:cs="" w:hAnsi="Calisto MT"/>
      <w:b/>
      <w:bCs/>
      <w:color w:val="7C8F97"/>
      <w:sz w:val="80"/>
      <w:szCs w:val="60"/>
    </w:rPr>
  </w:style>
  <w:style w:styleId="style80" w:type="paragraph">
    <w:name w:val="Footer Left"/>
    <w:basedOn w:val="style67"/>
    <w:next w:val="style80"/>
    <w:pPr>
      <w:jc w:val="left"/>
    </w:pPr>
    <w:rPr/>
  </w:style>
  <w:style w:styleId="style81" w:type="paragraph">
    <w:name w:val="No Space Between"/>
    <w:basedOn w:val="style0"/>
    <w:next w:val="style81"/>
    <w:pPr>
      <w:spacing w:line="14" w:lineRule="exact"/>
    </w:pPr>
    <w:rPr>
      <w:sz w:val="2"/>
    </w:rPr>
  </w:style>
  <w:style w:styleId="style82" w:type="paragraph">
    <w:name w:val="Balloon Text"/>
    <w:basedOn w:val="style0"/>
    <w:next w:val="style82"/>
    <w:pPr/>
    <w:rPr>
      <w:rFonts w:ascii="Tahoma" w:cs="Tahoma" w:hAnsi="Tahoma"/>
      <w:sz w:val="16"/>
      <w:szCs w:val="16"/>
    </w:rPr>
  </w:style>
  <w:style w:styleId="style83" w:type="paragraph">
    <w:name w:val="Bibliography"/>
    <w:basedOn w:val="style0"/>
    <w:next w:val="style83"/>
    <w:pPr/>
    <w:rPr/>
  </w:style>
  <w:style w:styleId="style84" w:type="paragraph">
    <w:name w:val="Block Text"/>
    <w:basedOn w:val="style0"/>
    <w:next w:val="style84"/>
    <w:pPr>
      <w:pBdr>
        <w:top w:color="7C8F97" w:space="0" w:sz="2" w:val="single"/>
        <w:left w:color="7C8F97" w:space="0" w:sz="2" w:val="single"/>
        <w:bottom w:color="7C8F97" w:space="0" w:sz="2" w:val="single"/>
        <w:right w:color="7C8F97" w:space="0" w:sz="2" w:val="single"/>
      </w:pBdr>
      <w:ind w:hanging="0" w:left="1152" w:right="1152"/>
    </w:pPr>
    <w:rPr>
      <w:i/>
      <w:iCs/>
      <w:color w:val="7C8F97"/>
    </w:rPr>
  </w:style>
  <w:style w:styleId="style85" w:type="paragraph">
    <w:name w:val="Body Text 2"/>
    <w:basedOn w:val="style0"/>
    <w:next w:val="style85"/>
    <w:pPr>
      <w:spacing w:after="120" w:before="0"/>
      <w:ind w:hanging="0" w:left="360" w:right="0"/>
    </w:pPr>
    <w:rPr/>
  </w:style>
  <w:style w:styleId="style86" w:type="paragraph">
    <w:name w:val="Body Text 3"/>
    <w:basedOn w:val="style0"/>
    <w:next w:val="style86"/>
    <w:pPr>
      <w:spacing w:after="120" w:before="0"/>
    </w:pPr>
    <w:rPr>
      <w:sz w:val="16"/>
      <w:szCs w:val="16"/>
    </w:rPr>
  </w:style>
  <w:style w:styleId="style87" w:type="paragraph">
    <w:name w:val="Body Text Indent"/>
    <w:basedOn w:val="style62"/>
    <w:next w:val="style87"/>
    <w:pPr>
      <w:spacing w:after="0" w:before="0"/>
      <w:ind w:firstLine="360" w:left="0" w:right="0"/>
    </w:pPr>
    <w:rPr>
      <w:szCs w:val="22"/>
    </w:rPr>
  </w:style>
  <w:style w:styleId="style88" w:type="paragraph">
    <w:name w:val="Body Text First Indent 2"/>
    <w:basedOn w:val="style85"/>
    <w:next w:val="style88"/>
    <w:pPr>
      <w:spacing w:after="0" w:before="0"/>
      <w:ind w:firstLine="360" w:left="360" w:right="0"/>
    </w:pPr>
    <w:rPr/>
  </w:style>
  <w:style w:styleId="style89" w:type="paragraph">
    <w:name w:val="Body Text Indent 2"/>
    <w:basedOn w:val="style0"/>
    <w:next w:val="style89"/>
    <w:pPr>
      <w:spacing w:after="120" w:before="0" w:line="480" w:lineRule="auto"/>
      <w:ind w:hanging="0" w:left="360" w:right="0"/>
    </w:pPr>
    <w:rPr/>
  </w:style>
  <w:style w:styleId="style90" w:type="paragraph">
    <w:name w:val="Body Text Indent 3"/>
    <w:basedOn w:val="style0"/>
    <w:next w:val="style90"/>
    <w:pPr>
      <w:spacing w:after="120" w:before="0"/>
      <w:ind w:hanging="0" w:left="360" w:right="0"/>
    </w:pPr>
    <w:rPr>
      <w:sz w:val="16"/>
      <w:szCs w:val="16"/>
    </w:rPr>
  </w:style>
  <w:style w:styleId="style91" w:type="paragraph">
    <w:name w:val="caption"/>
    <w:basedOn w:val="style0"/>
    <w:next w:val="style91"/>
    <w:pPr>
      <w:spacing w:after="200" w:before="0"/>
    </w:pPr>
    <w:rPr>
      <w:b/>
      <w:bCs/>
      <w:color w:val="7C8F97"/>
      <w:sz w:val="18"/>
      <w:szCs w:val="18"/>
    </w:rPr>
  </w:style>
  <w:style w:styleId="style92" w:type="paragraph">
    <w:name w:val="Closing"/>
    <w:basedOn w:val="style0"/>
    <w:next w:val="style92"/>
    <w:pPr>
      <w:ind w:hanging="0" w:left="4320" w:right="0"/>
    </w:pPr>
    <w:rPr/>
  </w:style>
  <w:style w:styleId="style93" w:type="paragraph">
    <w:name w:val="annotation text"/>
    <w:basedOn w:val="style0"/>
    <w:next w:val="style93"/>
    <w:pPr/>
    <w:rPr>
      <w:szCs w:val="20"/>
    </w:rPr>
  </w:style>
  <w:style w:styleId="style94" w:type="paragraph">
    <w:name w:val="annotation subject"/>
    <w:basedOn w:val="style93"/>
    <w:next w:val="style94"/>
    <w:pPr/>
    <w:rPr>
      <w:b/>
      <w:bCs/>
    </w:rPr>
  </w:style>
  <w:style w:styleId="style95" w:type="paragraph">
    <w:name w:val="Document Map"/>
    <w:basedOn w:val="style0"/>
    <w:next w:val="style95"/>
    <w:pPr/>
    <w:rPr>
      <w:rFonts w:ascii="Tahoma" w:cs="Tahoma" w:hAnsi="Tahoma"/>
      <w:sz w:val="16"/>
      <w:szCs w:val="16"/>
    </w:rPr>
  </w:style>
  <w:style w:styleId="style96" w:type="paragraph">
    <w:name w:val="E-mail Signature"/>
    <w:basedOn w:val="style0"/>
    <w:next w:val="style96"/>
    <w:pPr/>
    <w:rPr/>
  </w:style>
  <w:style w:styleId="style97" w:type="paragraph">
    <w:name w:val="endnote text"/>
    <w:basedOn w:val="style0"/>
    <w:next w:val="style97"/>
    <w:pPr/>
    <w:rPr>
      <w:szCs w:val="20"/>
    </w:rPr>
  </w:style>
  <w:style w:styleId="style98" w:type="paragraph">
    <w:name w:val="envelope address"/>
    <w:basedOn w:val="style0"/>
    <w:next w:val="style98"/>
    <w:pPr>
      <w:ind w:hanging="0" w:left="2880" w:right="0"/>
    </w:pPr>
    <w:rPr>
      <w:rFonts w:ascii="Calisto MT" w:cs="" w:hAnsi="Calisto MT"/>
      <w:sz w:val="24"/>
      <w:szCs w:val="24"/>
    </w:rPr>
  </w:style>
  <w:style w:styleId="style99" w:type="paragraph">
    <w:name w:val="envelope return"/>
    <w:basedOn w:val="style0"/>
    <w:next w:val="style99"/>
    <w:pPr/>
    <w:rPr>
      <w:rFonts w:ascii="Calisto MT" w:cs="" w:hAnsi="Calisto MT"/>
      <w:szCs w:val="20"/>
    </w:rPr>
  </w:style>
  <w:style w:styleId="style100" w:type="paragraph">
    <w:name w:val="HTML Address"/>
    <w:basedOn w:val="style0"/>
    <w:next w:val="style100"/>
    <w:pPr/>
    <w:rPr>
      <w:i/>
      <w:iCs/>
    </w:rPr>
  </w:style>
  <w:style w:styleId="style101" w:type="paragraph">
    <w:name w:val="HTML Preformatted"/>
    <w:basedOn w:val="style0"/>
    <w:next w:val="style101"/>
    <w:pPr/>
    <w:rPr>
      <w:rFonts w:ascii="Consolas" w:hAnsi="Consolas"/>
      <w:szCs w:val="20"/>
    </w:rPr>
  </w:style>
  <w:style w:styleId="style102" w:type="paragraph">
    <w:name w:val="index 1"/>
    <w:basedOn w:val="style0"/>
    <w:next w:val="style102"/>
    <w:pPr>
      <w:ind w:hanging="200" w:left="200" w:right="0"/>
    </w:pPr>
    <w:rPr/>
  </w:style>
  <w:style w:styleId="style103" w:type="paragraph">
    <w:name w:val="index 2"/>
    <w:basedOn w:val="style0"/>
    <w:next w:val="style103"/>
    <w:pPr>
      <w:ind w:hanging="200" w:left="400" w:right="0"/>
    </w:pPr>
    <w:rPr/>
  </w:style>
  <w:style w:styleId="style104" w:type="paragraph">
    <w:name w:val="index 3"/>
    <w:basedOn w:val="style0"/>
    <w:next w:val="style104"/>
    <w:pPr>
      <w:ind w:hanging="200" w:left="600" w:right="0"/>
    </w:pPr>
    <w:rPr/>
  </w:style>
  <w:style w:styleId="style105" w:type="paragraph">
    <w:name w:val="index 4"/>
    <w:basedOn w:val="style0"/>
    <w:next w:val="style105"/>
    <w:pPr>
      <w:ind w:hanging="200" w:left="800" w:right="0"/>
    </w:pPr>
    <w:rPr/>
  </w:style>
  <w:style w:styleId="style106" w:type="paragraph">
    <w:name w:val="index 5"/>
    <w:basedOn w:val="style0"/>
    <w:next w:val="style106"/>
    <w:pPr>
      <w:ind w:hanging="200" w:left="1000" w:right="0"/>
    </w:pPr>
    <w:rPr/>
  </w:style>
  <w:style w:styleId="style107" w:type="paragraph">
    <w:name w:val="index 6"/>
    <w:basedOn w:val="style0"/>
    <w:next w:val="style107"/>
    <w:pPr>
      <w:ind w:hanging="200" w:left="1200" w:right="0"/>
    </w:pPr>
    <w:rPr/>
  </w:style>
  <w:style w:styleId="style108" w:type="paragraph">
    <w:name w:val="index 7"/>
    <w:basedOn w:val="style0"/>
    <w:next w:val="style108"/>
    <w:pPr>
      <w:ind w:hanging="200" w:left="1400" w:right="0"/>
    </w:pPr>
    <w:rPr/>
  </w:style>
  <w:style w:styleId="style109" w:type="paragraph">
    <w:name w:val="index 8"/>
    <w:basedOn w:val="style0"/>
    <w:next w:val="style109"/>
    <w:pPr>
      <w:ind w:hanging="200" w:left="1600" w:right="0"/>
    </w:pPr>
    <w:rPr/>
  </w:style>
  <w:style w:styleId="style110" w:type="paragraph">
    <w:name w:val="index 9"/>
    <w:basedOn w:val="style0"/>
    <w:next w:val="style110"/>
    <w:pPr>
      <w:ind w:hanging="200" w:left="1800" w:right="0"/>
    </w:pPr>
    <w:rPr/>
  </w:style>
  <w:style w:styleId="style111" w:type="paragraph">
    <w:name w:val="index heading"/>
    <w:basedOn w:val="style0"/>
    <w:next w:val="style111"/>
    <w:pPr/>
    <w:rPr>
      <w:rFonts w:ascii="Calisto MT" w:cs="" w:hAnsi="Calisto MT"/>
      <w:b/>
      <w:bCs/>
    </w:rPr>
  </w:style>
  <w:style w:styleId="style112" w:type="paragraph">
    <w:name w:val="Intense Quote"/>
    <w:basedOn w:val="style0"/>
    <w:next w:val="style112"/>
    <w:pPr>
      <w:pBdr>
        <w:bottom w:color="7C8F97" w:space="0" w:sz="4" w:val="single"/>
      </w:pBdr>
      <w:spacing w:after="280" w:before="200"/>
      <w:ind w:hanging="0" w:left="936" w:right="936"/>
    </w:pPr>
    <w:rPr>
      <w:b/>
      <w:bCs/>
      <w:i/>
      <w:iCs/>
      <w:color w:val="7C8F97"/>
    </w:rPr>
  </w:style>
  <w:style w:styleId="style113" w:type="paragraph">
    <w:name w:val="List 2"/>
    <w:basedOn w:val="style0"/>
    <w:next w:val="style113"/>
    <w:pPr>
      <w:spacing w:after="120" w:before="0"/>
      <w:ind w:hanging="360" w:left="720" w:right="0"/>
    </w:pPr>
    <w:rPr/>
  </w:style>
  <w:style w:styleId="style114" w:type="paragraph">
    <w:name w:val="List 3"/>
    <w:basedOn w:val="style0"/>
    <w:next w:val="style114"/>
    <w:pPr>
      <w:spacing w:after="120" w:before="0"/>
      <w:ind w:hanging="360" w:left="1080" w:right="0"/>
    </w:pPr>
    <w:rPr/>
  </w:style>
  <w:style w:styleId="style115" w:type="paragraph">
    <w:name w:val="List 4"/>
    <w:basedOn w:val="style0"/>
    <w:next w:val="style115"/>
    <w:pPr>
      <w:spacing w:after="120" w:before="0"/>
      <w:ind w:hanging="360" w:left="1440" w:right="0"/>
    </w:pPr>
    <w:rPr/>
  </w:style>
  <w:style w:styleId="style116" w:type="paragraph">
    <w:name w:val="List 5"/>
    <w:basedOn w:val="style0"/>
    <w:next w:val="style116"/>
    <w:pPr>
      <w:spacing w:after="120" w:before="0"/>
      <w:ind w:hanging="360" w:left="1800" w:right="0"/>
    </w:pPr>
    <w:rPr/>
  </w:style>
  <w:style w:styleId="style117" w:type="paragraph">
    <w:name w:val="List Bullet 2"/>
    <w:basedOn w:val="style0"/>
    <w:next w:val="style117"/>
    <w:pPr/>
    <w:rPr/>
  </w:style>
  <w:style w:styleId="style118" w:type="paragraph">
    <w:name w:val="List Bullet 3"/>
    <w:basedOn w:val="style0"/>
    <w:next w:val="style118"/>
    <w:pPr/>
    <w:rPr/>
  </w:style>
  <w:style w:styleId="style119" w:type="paragraph">
    <w:name w:val="List Bullet 4"/>
    <w:basedOn w:val="style0"/>
    <w:next w:val="style119"/>
    <w:pPr/>
    <w:rPr/>
  </w:style>
  <w:style w:styleId="style120" w:type="paragraph">
    <w:name w:val="List Bullet 5"/>
    <w:basedOn w:val="style0"/>
    <w:next w:val="style120"/>
    <w:pPr/>
    <w:rPr/>
  </w:style>
  <w:style w:styleId="style121" w:type="paragraph">
    <w:name w:val="List Continue"/>
    <w:basedOn w:val="style0"/>
    <w:next w:val="style121"/>
    <w:pPr>
      <w:spacing w:after="120" w:before="0"/>
      <w:ind w:hanging="0" w:left="360" w:right="0"/>
    </w:pPr>
    <w:rPr/>
  </w:style>
  <w:style w:styleId="style122" w:type="paragraph">
    <w:name w:val="List Continue 2"/>
    <w:basedOn w:val="style0"/>
    <w:next w:val="style122"/>
    <w:pPr>
      <w:spacing w:after="120" w:before="0"/>
      <w:ind w:hanging="0" w:left="720" w:right="0"/>
    </w:pPr>
    <w:rPr/>
  </w:style>
  <w:style w:styleId="style123" w:type="paragraph">
    <w:name w:val="List Continue 3"/>
    <w:basedOn w:val="style0"/>
    <w:next w:val="style123"/>
    <w:pPr>
      <w:spacing w:after="120" w:before="0"/>
      <w:ind w:hanging="0" w:left="1080" w:right="0"/>
    </w:pPr>
    <w:rPr/>
  </w:style>
  <w:style w:styleId="style124" w:type="paragraph">
    <w:name w:val="List Continue 4"/>
    <w:basedOn w:val="style0"/>
    <w:next w:val="style124"/>
    <w:pPr>
      <w:spacing w:after="120" w:before="0"/>
      <w:ind w:hanging="0" w:left="1440" w:right="0"/>
    </w:pPr>
    <w:rPr/>
  </w:style>
  <w:style w:styleId="style125" w:type="paragraph">
    <w:name w:val="List Continue 5"/>
    <w:basedOn w:val="style0"/>
    <w:next w:val="style125"/>
    <w:pPr>
      <w:spacing w:after="120" w:before="0"/>
      <w:ind w:hanging="0" w:left="1800" w:right="0"/>
    </w:pPr>
    <w:rPr/>
  </w:style>
  <w:style w:styleId="style126" w:type="paragraph">
    <w:name w:val="List Number"/>
    <w:basedOn w:val="style0"/>
    <w:next w:val="style126"/>
    <w:pPr>
      <w:numPr>
        <w:ilvl w:val="0"/>
        <w:numId w:val="1"/>
      </w:numPr>
    </w:pPr>
    <w:rPr/>
  </w:style>
  <w:style w:styleId="style127" w:type="paragraph">
    <w:name w:val="List Number 2"/>
    <w:basedOn w:val="style0"/>
    <w:next w:val="style127"/>
    <w:pPr>
      <w:numPr>
        <w:ilvl w:val="0"/>
        <w:numId w:val="1"/>
      </w:numPr>
    </w:pPr>
    <w:rPr/>
  </w:style>
  <w:style w:styleId="style128" w:type="paragraph">
    <w:name w:val="List Number 3"/>
    <w:basedOn w:val="style0"/>
    <w:next w:val="style128"/>
    <w:pPr>
      <w:numPr>
        <w:ilvl w:val="0"/>
        <w:numId w:val="1"/>
      </w:numPr>
    </w:pPr>
    <w:rPr/>
  </w:style>
  <w:style w:styleId="style129" w:type="paragraph">
    <w:name w:val="List Number 4"/>
    <w:basedOn w:val="style0"/>
    <w:next w:val="style129"/>
    <w:pPr>
      <w:numPr>
        <w:ilvl w:val="0"/>
        <w:numId w:val="1"/>
      </w:numPr>
    </w:pPr>
    <w:rPr/>
  </w:style>
  <w:style w:styleId="style130" w:type="paragraph">
    <w:name w:val="List Number 5"/>
    <w:basedOn w:val="style0"/>
    <w:next w:val="style130"/>
    <w:pPr>
      <w:numPr>
        <w:ilvl w:val="0"/>
        <w:numId w:val="1"/>
      </w:numPr>
      <w:outlineLvl w:val="0"/>
    </w:pPr>
    <w:rPr/>
  </w:style>
  <w:style w:styleId="style131" w:type="paragraph">
    <w:name w:val="List Paragraph"/>
    <w:basedOn w:val="style0"/>
    <w:next w:val="style131"/>
    <w:pPr>
      <w:ind w:hanging="0" w:left="720" w:right="0"/>
    </w:pPr>
    <w:rPr/>
  </w:style>
  <w:style w:styleId="style132" w:type="paragraph">
    <w:name w:val="macro"/>
    <w:next w:val="style132"/>
    <w:pPr>
      <w:widowControl/>
      <w:tabs>
        <w:tab w:leader="none" w:pos="480" w:val="left"/>
        <w:tab w:leader="none" w:pos="960" w:val="left"/>
        <w:tab w:leader="none" w:pos="1440" w:val="left"/>
        <w:tab w:leader="none" w:pos="1920" w:val="left"/>
        <w:tab w:leader="none" w:pos="2400" w:val="left"/>
        <w:tab w:leader="none" w:pos="2880" w:val="left"/>
        <w:tab w:leader="none" w:pos="3360" w:val="left"/>
        <w:tab w:leader="none" w:pos="3840" w:val="left"/>
        <w:tab w:leader="none" w:pos="4320" w:val="left"/>
      </w:tabs>
      <w:suppressAutoHyphens w:val="true"/>
    </w:pPr>
    <w:rPr>
      <w:rFonts w:ascii="Consolas" w:cs="" w:eastAsia="DejaVu Sans" w:hAnsi="Consolas"/>
      <w:color w:val="404040"/>
      <w:sz w:val="20"/>
      <w:szCs w:val="20"/>
      <w:lang w:bidi="ar-SA" w:eastAsia="en-US" w:val="en-US"/>
    </w:rPr>
  </w:style>
  <w:style w:styleId="style133" w:type="paragraph">
    <w:name w:val="Message Header"/>
    <w:basedOn w:val="style0"/>
    <w:next w:val="style133"/>
    <w:pPr>
      <w:pBdr>
        <w:top w:color="00000A" w:space="0" w:sz="6" w:val="single"/>
        <w:left w:color="00000A" w:space="0" w:sz="6" w:val="single"/>
        <w:bottom w:color="00000A" w:space="0" w:sz="6" w:val="single"/>
        <w:right w:color="00000A" w:space="0" w:sz="6" w:val="single"/>
      </w:pBdr>
      <w:shd w:fill="CCCCCC" w:val="clear"/>
      <w:ind w:hanging="1080" w:left="1080" w:right="0"/>
    </w:pPr>
    <w:rPr>
      <w:rFonts w:ascii="Calisto MT" w:cs="" w:hAnsi="Calisto MT"/>
      <w:sz w:val="24"/>
      <w:szCs w:val="24"/>
    </w:rPr>
  </w:style>
  <w:style w:styleId="style134" w:type="paragraph">
    <w:name w:val="No Spacing"/>
    <w:next w:val="style134"/>
    <w:pPr>
      <w:widowControl/>
      <w:tabs>
        <w:tab w:leader="none" w:pos="720" w:val="left"/>
      </w:tabs>
      <w:suppressAutoHyphens w:val="true"/>
    </w:pPr>
    <w:rPr>
      <w:rFonts w:ascii="Calisto MT" w:cs="" w:eastAsia="DejaVu Sans" w:hAnsi="Calisto MT"/>
      <w:color w:val="404040"/>
      <w:sz w:val="20"/>
      <w:szCs w:val="22"/>
      <w:lang w:bidi="ar-SA" w:eastAsia="en-US" w:val="en-US"/>
    </w:rPr>
  </w:style>
  <w:style w:styleId="style135" w:type="paragraph">
    <w:name w:val="Normal (Web)"/>
    <w:basedOn w:val="style0"/>
    <w:next w:val="style135"/>
    <w:pPr/>
    <w:rPr>
      <w:rFonts w:ascii="Times New Roman" w:cs="Times New Roman" w:hAnsi="Times New Roman"/>
      <w:sz w:val="24"/>
      <w:szCs w:val="24"/>
    </w:rPr>
  </w:style>
  <w:style w:styleId="style136" w:type="paragraph">
    <w:name w:val="Normal Indent"/>
    <w:basedOn w:val="style0"/>
    <w:next w:val="style136"/>
    <w:pPr>
      <w:ind w:hanging="0" w:left="720" w:right="0"/>
    </w:pPr>
    <w:rPr/>
  </w:style>
  <w:style w:styleId="style137" w:type="paragraph">
    <w:name w:val="Note Heading"/>
    <w:basedOn w:val="style0"/>
    <w:next w:val="style137"/>
    <w:pPr/>
    <w:rPr/>
  </w:style>
  <w:style w:styleId="style138" w:type="paragraph">
    <w:name w:val="Plain Text"/>
    <w:basedOn w:val="style0"/>
    <w:next w:val="style138"/>
    <w:pPr/>
    <w:rPr>
      <w:rFonts w:ascii="Consolas" w:hAnsi="Consolas"/>
      <w:sz w:val="21"/>
      <w:szCs w:val="21"/>
    </w:rPr>
  </w:style>
  <w:style w:styleId="style139" w:type="paragraph">
    <w:name w:val="Quote"/>
    <w:basedOn w:val="style0"/>
    <w:next w:val="style139"/>
    <w:pPr/>
    <w:rPr>
      <w:i/>
      <w:iCs/>
      <w:color w:val="000000"/>
    </w:rPr>
  </w:style>
  <w:style w:styleId="style140" w:type="paragraph">
    <w:name w:val="Complimentary close"/>
    <w:basedOn w:val="style0"/>
    <w:next w:val="style140"/>
    <w:pPr>
      <w:suppressLineNumbers/>
    </w:pPr>
    <w:rPr/>
  </w:style>
  <w:style w:styleId="style141" w:type="paragraph">
    <w:name w:val="Signature"/>
    <w:basedOn w:val="style0"/>
    <w:next w:val="style141"/>
    <w:pPr>
      <w:suppressLineNumbers/>
      <w:ind w:hanging="0" w:left="4320" w:right="0"/>
    </w:pPr>
    <w:rPr/>
  </w:style>
  <w:style w:styleId="style142" w:type="paragraph">
    <w:name w:val="table of authorities"/>
    <w:basedOn w:val="style0"/>
    <w:next w:val="style142"/>
    <w:pPr>
      <w:ind w:hanging="200" w:left="200" w:right="0"/>
    </w:pPr>
    <w:rPr/>
  </w:style>
  <w:style w:styleId="style143" w:type="paragraph">
    <w:name w:val="table of figures"/>
    <w:basedOn w:val="style0"/>
    <w:next w:val="style143"/>
    <w:pPr/>
    <w:rPr/>
  </w:style>
  <w:style w:styleId="style144" w:type="paragraph">
    <w:name w:val="toa heading"/>
    <w:basedOn w:val="style0"/>
    <w:next w:val="style144"/>
    <w:pPr>
      <w:spacing w:after="0" w:before="120"/>
    </w:pPr>
    <w:rPr>
      <w:rFonts w:ascii="Calisto MT" w:cs="" w:hAnsi="Calisto MT"/>
      <w:b/>
      <w:bCs/>
      <w:sz w:val="24"/>
      <w:szCs w:val="24"/>
    </w:rPr>
  </w:style>
  <w:style w:styleId="style145" w:type="paragraph">
    <w:name w:val="Contents 1"/>
    <w:basedOn w:val="style0"/>
    <w:next w:val="style145"/>
    <w:pPr>
      <w:tabs>
        <w:tab w:leader="dot" w:pos="9972" w:val="right"/>
      </w:tabs>
      <w:spacing w:after="100" w:before="0"/>
      <w:ind w:hanging="0" w:left="0" w:right="0"/>
    </w:pPr>
    <w:rPr/>
  </w:style>
  <w:style w:styleId="style146" w:type="paragraph">
    <w:name w:val="Contents 2"/>
    <w:basedOn w:val="style0"/>
    <w:next w:val="style146"/>
    <w:pPr>
      <w:tabs>
        <w:tab w:leader="dot" w:pos="9889" w:val="right"/>
      </w:tabs>
      <w:spacing w:after="100" w:before="0"/>
      <w:ind w:hanging="0" w:left="200" w:right="0"/>
    </w:pPr>
    <w:rPr/>
  </w:style>
  <w:style w:styleId="style147" w:type="paragraph">
    <w:name w:val="Contents 3"/>
    <w:basedOn w:val="style0"/>
    <w:next w:val="style147"/>
    <w:pPr>
      <w:tabs>
        <w:tab w:leader="dot" w:pos="9806" w:val="right"/>
      </w:tabs>
      <w:spacing w:after="100" w:before="0"/>
      <w:ind w:hanging="0" w:left="400" w:right="0"/>
    </w:pPr>
    <w:rPr/>
  </w:style>
  <w:style w:styleId="style148" w:type="paragraph">
    <w:name w:val="Contents 4"/>
    <w:basedOn w:val="style0"/>
    <w:next w:val="style148"/>
    <w:pPr>
      <w:tabs>
        <w:tab w:leader="dot" w:pos="9723" w:val="right"/>
      </w:tabs>
      <w:spacing w:after="100" w:before="0"/>
      <w:ind w:hanging="0" w:left="600" w:right="0"/>
    </w:pPr>
    <w:rPr/>
  </w:style>
  <w:style w:styleId="style149" w:type="paragraph">
    <w:name w:val="Contents 5"/>
    <w:basedOn w:val="style0"/>
    <w:next w:val="style149"/>
    <w:pPr>
      <w:tabs>
        <w:tab w:leader="dot" w:pos="9640" w:val="right"/>
      </w:tabs>
      <w:spacing w:after="100" w:before="0"/>
      <w:ind w:hanging="0" w:left="800" w:right="0"/>
    </w:pPr>
    <w:rPr/>
  </w:style>
  <w:style w:styleId="style150" w:type="paragraph">
    <w:name w:val="Contents 6"/>
    <w:basedOn w:val="style0"/>
    <w:next w:val="style150"/>
    <w:pPr>
      <w:tabs>
        <w:tab w:leader="dot" w:pos="9557" w:val="right"/>
      </w:tabs>
      <w:spacing w:after="100" w:before="0"/>
      <w:ind w:hanging="0" w:left="1000" w:right="0"/>
    </w:pPr>
    <w:rPr/>
  </w:style>
  <w:style w:styleId="style151" w:type="paragraph">
    <w:name w:val="Contents 7"/>
    <w:basedOn w:val="style0"/>
    <w:next w:val="style151"/>
    <w:pPr>
      <w:tabs>
        <w:tab w:leader="dot" w:pos="9474" w:val="right"/>
      </w:tabs>
      <w:spacing w:after="100" w:before="0"/>
      <w:ind w:hanging="0" w:left="1200" w:right="0"/>
    </w:pPr>
    <w:rPr/>
  </w:style>
  <w:style w:styleId="style152" w:type="paragraph">
    <w:name w:val="Contents 8"/>
    <w:basedOn w:val="style0"/>
    <w:next w:val="style152"/>
    <w:pPr>
      <w:tabs>
        <w:tab w:leader="dot" w:pos="9391" w:val="right"/>
      </w:tabs>
      <w:spacing w:after="100" w:before="0"/>
      <w:ind w:hanging="0" w:left="1400" w:right="0"/>
    </w:pPr>
    <w:rPr/>
  </w:style>
  <w:style w:styleId="style153" w:type="paragraph">
    <w:name w:val="Contents 9"/>
    <w:basedOn w:val="style0"/>
    <w:next w:val="style153"/>
    <w:pPr>
      <w:tabs>
        <w:tab w:leader="dot" w:pos="9308" w:val="right"/>
      </w:tabs>
      <w:spacing w:after="100" w:before="0"/>
      <w:ind w:hanging="0" w:left="1600" w:right="0"/>
    </w:pPr>
    <w:rPr/>
  </w:style>
  <w:style w:styleId="style154" w:type="paragraph">
    <w:name w:val="Contents Heading"/>
    <w:basedOn w:val="style1"/>
    <w:next w:val="style154"/>
    <w:pPr>
      <w:pageBreakBefore/>
      <w:suppressLineNumbers/>
    </w:pPr>
    <w:rPr>
      <w:b/>
      <w:bCs/>
      <w:color w:val="5B6B72"/>
      <w:sz w:val="28"/>
      <w:szCs w:val="32"/>
    </w:rPr>
  </w:style>
  <w:style w:styleId="style155" w:type="paragraph">
    <w:name w:val="Footnote"/>
    <w:basedOn w:val="style0"/>
    <w:next w:val="style155"/>
    <w:pPr>
      <w:suppressLineNumbers/>
      <w:ind w:hanging="283" w:left="283"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Capital Business Report.dotx</Template>
  <TotalTime>254</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2014-01-01T17:57:00.00Z</dcterms:created>
  <dc:creator>Peter Goldthorp</dc:creator>
  <cp:lastModifiedBy>Peter Goldthorp</cp:lastModifiedBy>
  <dcterms:modified xsi:type="dcterms:W3CDTF">2014-01-04T18:20:00.00Z</dcterms:modified>
  <cp:revision>4</cp:revision>
</cp:coreProperties>
</file>