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0BD7" w14:textId="77777777" w:rsidR="00A84FB6" w:rsidRDefault="00A84FB6"/>
    <w:p w14:paraId="615588CD" w14:textId="77777777" w:rsidR="004F64B3" w:rsidRPr="00461506" w:rsidRDefault="004F64B3" w:rsidP="004F64B3">
      <w:pPr>
        <w:jc w:val="center"/>
        <w:rPr>
          <w:rFonts w:cstheme="minorHAnsi"/>
          <w:sz w:val="36"/>
          <w:szCs w:val="36"/>
        </w:rPr>
      </w:pPr>
      <w:r w:rsidRPr="00461506">
        <w:rPr>
          <w:rFonts w:cstheme="minorHAnsi"/>
          <w:sz w:val="36"/>
          <w:szCs w:val="36"/>
        </w:rPr>
        <w:t xml:space="preserve">Integrating equity-focused planning </w:t>
      </w:r>
      <w:bookmarkStart w:id="0" w:name="_Hlk134080886"/>
      <w:r w:rsidRPr="00461506">
        <w:rPr>
          <w:rFonts w:cstheme="minorHAnsi"/>
          <w:sz w:val="36"/>
          <w:szCs w:val="36"/>
        </w:rPr>
        <w:t>into coral bleaching management</w:t>
      </w:r>
      <w:bookmarkEnd w:id="0"/>
    </w:p>
    <w:p w14:paraId="296E0DCB" w14:textId="77777777" w:rsidR="004F64B3" w:rsidRPr="00461506" w:rsidRDefault="004F64B3" w:rsidP="004F64B3">
      <w:pPr>
        <w:rPr>
          <w:rFonts w:cstheme="minorHAnsi"/>
          <w:sz w:val="24"/>
          <w:szCs w:val="24"/>
          <w:lang w:val="es-MX"/>
        </w:rPr>
      </w:pPr>
      <w:r w:rsidRPr="00461506">
        <w:rPr>
          <w:rFonts w:cstheme="minorHAnsi"/>
          <w:sz w:val="24"/>
          <w:szCs w:val="24"/>
          <w:lang w:val="es-MX"/>
        </w:rPr>
        <w:t>González-Espinosa Pedro C.*</w:t>
      </w:r>
      <w:r w:rsidRPr="00461506">
        <w:rPr>
          <w:rFonts w:cstheme="minorHAnsi"/>
          <w:sz w:val="24"/>
          <w:szCs w:val="24"/>
          <w:vertAlign w:val="superscript"/>
          <w:lang w:val="es-MX"/>
        </w:rPr>
        <w:t xml:space="preserve"> 1</w:t>
      </w:r>
      <w:r w:rsidRPr="00461506">
        <w:rPr>
          <w:rFonts w:cstheme="minorHAnsi"/>
          <w:sz w:val="24"/>
          <w:szCs w:val="24"/>
          <w:lang w:val="es-MX"/>
        </w:rPr>
        <w:t xml:space="preserve">, Bossier Sieme </w:t>
      </w:r>
      <w:r w:rsidRPr="00461506">
        <w:rPr>
          <w:rFonts w:cstheme="minorHAnsi"/>
          <w:sz w:val="24"/>
          <w:szCs w:val="24"/>
          <w:vertAlign w:val="superscript"/>
          <w:lang w:val="es-MX"/>
        </w:rPr>
        <w:t>1</w:t>
      </w:r>
      <w:r w:rsidRPr="00461506">
        <w:rPr>
          <w:rFonts w:cstheme="minorHAnsi"/>
          <w:sz w:val="24"/>
          <w:szCs w:val="24"/>
          <w:lang w:val="es-MX"/>
        </w:rPr>
        <w:t xml:space="preserve">, </w:t>
      </w:r>
      <w:r>
        <w:rPr>
          <w:rFonts w:cstheme="minorHAnsi"/>
          <w:sz w:val="24"/>
          <w:szCs w:val="24"/>
          <w:lang w:val="es-MX"/>
        </w:rPr>
        <w:t>Singh Gerald G.</w:t>
      </w:r>
      <w:r w:rsidRPr="001C43E7">
        <w:rPr>
          <w:rFonts w:cstheme="minorHAnsi"/>
          <w:sz w:val="24"/>
          <w:szCs w:val="24"/>
          <w:vertAlign w:val="superscript"/>
          <w:lang w:val="es-MX"/>
        </w:rPr>
        <w:t>2</w:t>
      </w:r>
      <w:r>
        <w:rPr>
          <w:rFonts w:cstheme="minorHAnsi"/>
          <w:sz w:val="24"/>
          <w:szCs w:val="24"/>
          <w:lang w:val="es-MX"/>
        </w:rPr>
        <w:t xml:space="preserve">, </w:t>
      </w:r>
      <w:r w:rsidRPr="00461506">
        <w:rPr>
          <w:rFonts w:cstheme="minorHAnsi"/>
          <w:sz w:val="24"/>
          <w:szCs w:val="24"/>
          <w:lang w:val="es-MX"/>
        </w:rPr>
        <w:t xml:space="preserve">Cisneros-Montemayor Andrés M. </w:t>
      </w:r>
      <w:r w:rsidRPr="00461506">
        <w:rPr>
          <w:rFonts w:cstheme="minorHAnsi"/>
          <w:sz w:val="24"/>
          <w:szCs w:val="24"/>
          <w:vertAlign w:val="superscript"/>
          <w:lang w:val="es-MX"/>
        </w:rPr>
        <w:t>1</w:t>
      </w:r>
    </w:p>
    <w:p w14:paraId="7E13FF1B" w14:textId="77777777" w:rsidR="004F64B3" w:rsidRDefault="004F64B3" w:rsidP="004F64B3">
      <w:pPr>
        <w:rPr>
          <w:rFonts w:cstheme="minorHAnsi"/>
          <w:sz w:val="20"/>
          <w:szCs w:val="20"/>
        </w:rPr>
      </w:pPr>
      <w:r w:rsidRPr="00461506">
        <w:rPr>
          <w:rFonts w:cstheme="minorHAnsi"/>
          <w:sz w:val="20"/>
          <w:szCs w:val="20"/>
          <w:vertAlign w:val="superscript"/>
        </w:rPr>
        <w:t>1</w:t>
      </w:r>
      <w:r w:rsidRPr="00461506">
        <w:rPr>
          <w:rFonts w:cstheme="minorHAnsi"/>
          <w:sz w:val="20"/>
          <w:szCs w:val="20"/>
        </w:rPr>
        <w:t xml:space="preserve"> Nippon Foundation Ocean Nexus, School of Resource and Environmental Management (REM), Simon Fraser University (SFU) Technology and Science Complex 1, 643A Science Rd, V5A 1S6, Burnaby, BC</w:t>
      </w:r>
      <w:r>
        <w:rPr>
          <w:rFonts w:cstheme="minorHAnsi"/>
          <w:sz w:val="20"/>
          <w:szCs w:val="20"/>
        </w:rPr>
        <w:t>, Canada</w:t>
      </w:r>
    </w:p>
    <w:p w14:paraId="602EB142" w14:textId="77777777" w:rsidR="004F64B3" w:rsidRPr="00BC25E2" w:rsidRDefault="004F64B3" w:rsidP="004F64B3">
      <w:pPr>
        <w:spacing w:after="0"/>
        <w:rPr>
          <w:rFonts w:cstheme="minorHAnsi"/>
          <w:sz w:val="20"/>
          <w:szCs w:val="20"/>
        </w:rPr>
      </w:pPr>
      <w:r w:rsidRPr="002334A2"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  <w:vertAlign w:val="superscript"/>
        </w:rPr>
        <w:t xml:space="preserve"> </w:t>
      </w:r>
      <w:r>
        <w:rPr>
          <w:rFonts w:cstheme="minorHAnsi"/>
          <w:sz w:val="20"/>
          <w:szCs w:val="20"/>
        </w:rPr>
        <w:t xml:space="preserve">Nippon Foundation Ocean Nexus, School of Environmental Studies, University of Victoria, </w:t>
      </w:r>
      <w:r w:rsidRPr="00BC25E2">
        <w:rPr>
          <w:rFonts w:cstheme="minorHAnsi"/>
          <w:sz w:val="20"/>
          <w:szCs w:val="20"/>
        </w:rPr>
        <w:t>3800 Finnerty Road</w:t>
      </w:r>
    </w:p>
    <w:p w14:paraId="7A5313F4" w14:textId="77777777" w:rsidR="004F64B3" w:rsidRPr="006122DD" w:rsidRDefault="004F64B3" w:rsidP="004F64B3">
      <w:pPr>
        <w:rPr>
          <w:rFonts w:cstheme="minorHAnsi"/>
          <w:sz w:val="20"/>
          <w:szCs w:val="20"/>
          <w:lang w:val="en-CA"/>
        </w:rPr>
      </w:pPr>
      <w:r w:rsidRPr="004F4041">
        <w:rPr>
          <w:rFonts w:cstheme="minorHAnsi"/>
          <w:sz w:val="20"/>
          <w:szCs w:val="20"/>
          <w:lang w:val="en-CA"/>
        </w:rPr>
        <w:t xml:space="preserve">  </w:t>
      </w:r>
      <w:r w:rsidRPr="006122DD">
        <w:rPr>
          <w:rFonts w:cstheme="minorHAnsi"/>
          <w:sz w:val="20"/>
          <w:szCs w:val="20"/>
          <w:lang w:val="en-CA"/>
        </w:rPr>
        <w:t>V8P 5C2, Victoria BC, Canada</w:t>
      </w:r>
    </w:p>
    <w:p w14:paraId="007FD76C" w14:textId="29E672CE" w:rsidR="004F64B3" w:rsidRPr="0094002F" w:rsidRDefault="004F64B3" w:rsidP="0094002F">
      <w:pPr>
        <w:spacing w:line="480" w:lineRule="auto"/>
        <w:jc w:val="both"/>
        <w:rPr>
          <w:rFonts w:cstheme="minorHAnsi"/>
          <w:color w:val="0563C1" w:themeColor="hyperlink"/>
          <w:sz w:val="20"/>
          <w:szCs w:val="20"/>
          <w:u w:val="single"/>
        </w:rPr>
      </w:pPr>
      <w:r w:rsidRPr="00461506">
        <w:rPr>
          <w:rFonts w:cstheme="minorHAnsi"/>
          <w:sz w:val="20"/>
          <w:szCs w:val="20"/>
        </w:rPr>
        <w:t xml:space="preserve">* Corresponding author: </w:t>
      </w:r>
      <w:hyperlink r:id="rId5" w:history="1">
        <w:r w:rsidRPr="00461506">
          <w:rPr>
            <w:rStyle w:val="Hyperlink"/>
            <w:rFonts w:cstheme="minorHAnsi"/>
            <w:sz w:val="20"/>
            <w:szCs w:val="20"/>
          </w:rPr>
          <w:t>pgonzaleze@gmail.com</w:t>
        </w:r>
      </w:hyperlink>
      <w:r>
        <w:rPr>
          <w:rStyle w:val="Hyperlink"/>
          <w:rFonts w:cstheme="minorHAnsi"/>
          <w:sz w:val="20"/>
          <w:szCs w:val="20"/>
        </w:rPr>
        <w:t xml:space="preserve"> </w:t>
      </w:r>
    </w:p>
    <w:p w14:paraId="43D8D66E" w14:textId="77777777" w:rsidR="004F64B3" w:rsidRDefault="004F64B3" w:rsidP="004F64B3">
      <w:pPr>
        <w:pStyle w:val="Heading1"/>
        <w:rPr>
          <w:sz w:val="24"/>
          <w:szCs w:val="24"/>
        </w:rPr>
      </w:pPr>
      <w:r w:rsidRPr="00AF379B">
        <w:rPr>
          <w:sz w:val="24"/>
          <w:szCs w:val="24"/>
        </w:rPr>
        <w:t>Supplementary materials</w:t>
      </w:r>
    </w:p>
    <w:p w14:paraId="70A7026A" w14:textId="77777777" w:rsidR="004F64B3" w:rsidRPr="000B1BEF" w:rsidRDefault="004F64B3" w:rsidP="004F64B3"/>
    <w:p w14:paraId="52148F26" w14:textId="77777777" w:rsidR="004F64B3" w:rsidRPr="00461506" w:rsidRDefault="004F64B3" w:rsidP="004F64B3">
      <w:pPr>
        <w:spacing w:after="0" w:line="480" w:lineRule="auto"/>
        <w:jc w:val="both"/>
        <w:rPr>
          <w:sz w:val="24"/>
          <w:szCs w:val="24"/>
        </w:rPr>
      </w:pPr>
      <w:r w:rsidRPr="00461506">
        <w:rPr>
          <w:sz w:val="24"/>
          <w:szCs w:val="24"/>
        </w:rPr>
        <w:t xml:space="preserve">Table S1.- Ocean Decade endorsed actions (as of </w:t>
      </w:r>
      <w:r>
        <w:rPr>
          <w:sz w:val="24"/>
          <w:szCs w:val="24"/>
        </w:rPr>
        <w:t>May</w:t>
      </w:r>
      <w:r w:rsidRPr="00461506">
        <w:rPr>
          <w:sz w:val="24"/>
          <w:szCs w:val="24"/>
        </w:rPr>
        <w:t xml:space="preserve"> 2023) related to coral reefs. </w:t>
      </w:r>
    </w:p>
    <w:tbl>
      <w:tblPr>
        <w:tblStyle w:val="TableGrid"/>
        <w:tblW w:w="9493" w:type="dxa"/>
        <w:tblInd w:w="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110"/>
        <w:gridCol w:w="1559"/>
        <w:gridCol w:w="1844"/>
      </w:tblGrid>
      <w:tr w:rsidR="004F64B3" w:rsidRPr="00461506" w14:paraId="70BBFCF3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9C47B58" w14:textId="77777777" w:rsidR="004F64B3" w:rsidRPr="00461506" w:rsidRDefault="004F64B3" w:rsidP="00094454">
            <w:pPr>
              <w:jc w:val="center"/>
              <w:rPr>
                <w:rFonts w:cstheme="minorHAnsi"/>
                <w:b/>
                <w:bCs/>
              </w:rPr>
            </w:pPr>
            <w:r w:rsidRPr="00461506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01BCD74F" w14:textId="77777777" w:rsidR="004F64B3" w:rsidRPr="00461506" w:rsidRDefault="004F64B3" w:rsidP="00094454">
            <w:pPr>
              <w:jc w:val="center"/>
              <w:rPr>
                <w:rFonts w:cstheme="minorHAnsi"/>
                <w:b/>
                <w:bCs/>
              </w:rPr>
            </w:pPr>
            <w:r w:rsidRPr="00461506">
              <w:rPr>
                <w:rFonts w:cstheme="minorHAnsi"/>
                <w:b/>
                <w:bCs/>
              </w:rPr>
              <w:t>Action /Aim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49C9A63" w14:textId="77777777" w:rsidR="004F64B3" w:rsidRPr="00461506" w:rsidRDefault="004F64B3" w:rsidP="00094454">
            <w:pPr>
              <w:jc w:val="center"/>
              <w:rPr>
                <w:rFonts w:cstheme="minorHAnsi"/>
                <w:b/>
                <w:bCs/>
              </w:rPr>
            </w:pPr>
            <w:r w:rsidRPr="00461506">
              <w:rPr>
                <w:rFonts w:cstheme="minorHAnsi"/>
                <w:b/>
                <w:bCs/>
              </w:rPr>
              <w:t>Focus / Extent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46DB93A5" w14:textId="77777777" w:rsidR="004F64B3" w:rsidRPr="00461506" w:rsidRDefault="004F64B3" w:rsidP="00094454">
            <w:pPr>
              <w:jc w:val="center"/>
              <w:rPr>
                <w:rFonts w:cstheme="minorHAnsi"/>
                <w:b/>
                <w:bCs/>
              </w:rPr>
            </w:pPr>
            <w:r w:rsidRPr="00461506">
              <w:rPr>
                <w:rFonts w:cstheme="minorHAnsi"/>
                <w:b/>
                <w:bCs/>
              </w:rPr>
              <w:t>Lead Institution and country</w:t>
            </w:r>
          </w:p>
        </w:tc>
      </w:tr>
      <w:tr w:rsidR="004F64B3" w:rsidRPr="00461506" w14:paraId="28A64E8B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6E3F893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The Global Fund for Coral Reefs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22C41AD0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Deploys and unlocks funding across a blended ‘Investment Ecosystem’ under a ‘protect-transform-restore-recover’ approach.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8455755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t>SIDS and LDCs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77343370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United Nations Multi-Partner Trust Fund Office</w:t>
            </w:r>
          </w:p>
        </w:tc>
      </w:tr>
      <w:tr w:rsidR="004F64B3" w:rsidRPr="00461506" w14:paraId="42677E23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F1FF1E8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Reef Recovery 2030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579008BA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Boost the resilience of these unique reef ecosystems and the people that rely on them.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ABB14B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t>Great Barrier Reef, Australia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14BD6F67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Great Barrier Reef Foundation, Australia</w:t>
            </w:r>
          </w:p>
        </w:tc>
      </w:tr>
      <w:tr w:rsidR="004F64B3" w:rsidRPr="00461506" w14:paraId="344F05B8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75ED5A4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Hope for Reefs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2C36AEA6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Advance high-impact interventions—from establishing sustainable fisheries and marine protected areas to on-the-reef restoration— Scale a successful model for community reef monitoring to the national level; increase capacity for rapid response to catastrophic events impacting reefs; and apply new technologies to map, monitor, forecast, and regenerate reef health.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8D6E760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t>Global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77773C3E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 xml:space="preserve">California Academy of Sciences </w:t>
            </w:r>
            <w:r>
              <w:rPr>
                <w:rFonts w:cstheme="minorHAnsi"/>
              </w:rPr>
              <w:t>–</w:t>
            </w:r>
            <w:r w:rsidRPr="00461506">
              <w:rPr>
                <w:rFonts w:cstheme="minorHAnsi"/>
              </w:rPr>
              <w:t xml:space="preserve"> United States of America (USA)</w:t>
            </w:r>
          </w:p>
        </w:tc>
      </w:tr>
      <w:tr w:rsidR="004F64B3" w:rsidRPr="00461506" w14:paraId="59034370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69B2C99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Pacific Coral Reef Action Science and Knowledge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1A0AD1BC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Provide the science needed to support Pacific Island Countries to build resilience of coral reefs.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C1CDF35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t>Pacific Islands Small Developing states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6AABB9C9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 xml:space="preserve">Secretariat of the Pacific Regional Environmental Programme </w:t>
            </w:r>
            <w:r>
              <w:rPr>
                <w:rFonts w:cstheme="minorHAnsi"/>
              </w:rPr>
              <w:t>–</w:t>
            </w:r>
            <w:r w:rsidRPr="00461506">
              <w:rPr>
                <w:rFonts w:cstheme="minorHAnsi"/>
              </w:rPr>
              <w:t xml:space="preserve"> Samoa</w:t>
            </w:r>
          </w:p>
        </w:tc>
      </w:tr>
      <w:tr w:rsidR="004F64B3" w:rsidRPr="00461506" w14:paraId="03D4A8A0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D3EFD58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The Cozumel Coral Conservatory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248A1B1F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 xml:space="preserve">Preserve and grow corals uniting science, technology, engineering, arts, and math (STEAM). Natural coral heads, as well as </w:t>
            </w:r>
            <w:r w:rsidRPr="00461506">
              <w:rPr>
                <w:rFonts w:cstheme="minorHAnsi"/>
              </w:rPr>
              <w:lastRenderedPageBreak/>
              <w:t>artistic and functional artificial reef structures and sculptures, populate the seafloor in the Villa Blanca reef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13F3B5E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lastRenderedPageBreak/>
              <w:t>Cozumel, Mexico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51D56D73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 xml:space="preserve">Living Sea Sculpture, United </w:t>
            </w:r>
            <w:r w:rsidRPr="00461506">
              <w:rPr>
                <w:rFonts w:cstheme="minorHAnsi"/>
              </w:rPr>
              <w:lastRenderedPageBreak/>
              <w:t>States of America (USA)</w:t>
            </w:r>
          </w:p>
        </w:tc>
      </w:tr>
      <w:tr w:rsidR="004F64B3" w:rsidRPr="00461506" w14:paraId="46ECBCC3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055BF6B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lastRenderedPageBreak/>
              <w:t>The Coral Reef Sentinels: A Mars Shot for Blue Planetary Health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449D35AD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Deploy autonomous, low-cost robots to monitor the health of coral reefs around the world in near real-time.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E210477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t>Global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33B5222C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Smithsonian Institution, at Panama, USA</w:t>
            </w:r>
          </w:p>
        </w:tc>
      </w:tr>
      <w:tr w:rsidR="004F64B3" w:rsidRPr="00461506" w14:paraId="33D58B73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3126953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Low-cost real-time monitoring of pollutants and water quality along the coral reefs in Tanzania: Supporting effective ocean management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745F3884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Deploy water quality monitoring devices in eight coral reef sites along the coast of Tanzania.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40815F9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t>Tanzania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453F98CB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Aqua Farms Organization, Tanzania</w:t>
            </w:r>
          </w:p>
        </w:tc>
      </w:tr>
      <w:tr w:rsidR="004F64B3" w:rsidRPr="00461506" w14:paraId="66189A6F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2537D3E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Coral Reef Restoration Engaging Local Stakeholders Using Novel Biomimicking IntelliReefs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77F86B6B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Deploy additional IntelliReefs and further analyze the benefits and applications of IntelliReefs for fish, corals and local economies.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03DD50B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t>Caribbean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2F22D380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 xml:space="preserve">IntelliReefs United States of America (USA), </w:t>
            </w:r>
          </w:p>
        </w:tc>
      </w:tr>
      <w:tr w:rsidR="004F64B3" w:rsidRPr="00461506" w14:paraId="5FA941A6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8E9725C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Submersible Technology to Advance Reef Science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0ED50BB1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Produce billions of new ocean observations that benefit the coastal ocean and the species and economies that depend on it.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E2E37BB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t>Global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6E1CBDC6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2DegreesC – United States of America (USA)</w:t>
            </w:r>
          </w:p>
        </w:tc>
      </w:tr>
      <w:tr w:rsidR="004F64B3" w:rsidRPr="00461506" w14:paraId="221274F6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B486CB8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Science Without Borders®: Conserving the Tropics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247FD2DF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Provide science-based solutions to help communities protect coral reefs, mangrove forests, and seagrass beds.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6C96A96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t>Global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080AD177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Khaled Bin Sultan Living Oceans Foundation (KSLOF), United States of America (USA)</w:t>
            </w:r>
          </w:p>
        </w:tc>
      </w:tr>
      <w:tr w:rsidR="004F64B3" w:rsidRPr="00461506" w14:paraId="18EB3C82" w14:textId="77777777" w:rsidTr="0009445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91DB3B8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Allen Coral Atlas: Global Coral Reef Monitoring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43847615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Assist stakeholders ranging from local communities to regional and national governments to reach their coral reef conservation goals.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B2CE1B" w14:textId="77777777" w:rsidR="004F64B3" w:rsidRPr="00461506" w:rsidRDefault="004F64B3" w:rsidP="00094454">
            <w:pPr>
              <w:jc w:val="both"/>
              <w:rPr>
                <w:rFonts w:cstheme="minorHAnsi"/>
              </w:rPr>
            </w:pPr>
            <w:r w:rsidRPr="00461506">
              <w:rPr>
                <w:rFonts w:cstheme="minorHAnsi"/>
              </w:rPr>
              <w:t>Global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2599D0C8" w14:textId="77777777" w:rsidR="004F64B3" w:rsidRPr="00461506" w:rsidRDefault="004F64B3" w:rsidP="00094454">
            <w:pPr>
              <w:rPr>
                <w:rFonts w:cstheme="minorHAnsi"/>
              </w:rPr>
            </w:pPr>
            <w:r w:rsidRPr="00461506">
              <w:rPr>
                <w:rFonts w:cstheme="minorHAnsi"/>
              </w:rPr>
              <w:t>Arizona State University</w:t>
            </w:r>
            <w:r>
              <w:rPr>
                <w:rFonts w:cstheme="minorHAnsi"/>
              </w:rPr>
              <w:t>’</w:t>
            </w:r>
            <w:r w:rsidRPr="00461506">
              <w:rPr>
                <w:rFonts w:cstheme="minorHAnsi"/>
              </w:rPr>
              <w:t>s Center for Global Discovery and Conservation Science, United States of America (USA)</w:t>
            </w:r>
          </w:p>
        </w:tc>
      </w:tr>
    </w:tbl>
    <w:p w14:paraId="137D1561" w14:textId="1D01197C" w:rsidR="00330500" w:rsidRDefault="00330500" w:rsidP="004F64B3">
      <w:pPr>
        <w:spacing w:line="480" w:lineRule="auto"/>
        <w:jc w:val="both"/>
        <w:rPr>
          <w:sz w:val="24"/>
          <w:szCs w:val="24"/>
        </w:rPr>
      </w:pPr>
    </w:p>
    <w:p w14:paraId="4E3B59B3" w14:textId="77777777" w:rsidR="00330500" w:rsidRDefault="003305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A9EF06" w14:textId="77777777" w:rsidR="004F64B3" w:rsidRDefault="004F64B3" w:rsidP="004F64B3">
      <w:pPr>
        <w:pStyle w:val="Heading2"/>
        <w:rPr>
          <w:sz w:val="24"/>
          <w:szCs w:val="24"/>
        </w:rPr>
      </w:pPr>
      <w:r w:rsidRPr="0071552E">
        <w:rPr>
          <w:sz w:val="24"/>
          <w:szCs w:val="24"/>
        </w:rPr>
        <w:lastRenderedPageBreak/>
        <w:t>Bleaching reports and BAA accuracy computation</w:t>
      </w:r>
    </w:p>
    <w:p w14:paraId="52438947" w14:textId="77777777" w:rsidR="004F64B3" w:rsidRPr="000B1BEF" w:rsidRDefault="004F64B3" w:rsidP="004F64B3"/>
    <w:p w14:paraId="03F6494E" w14:textId="38F2B699" w:rsidR="004F64B3" w:rsidRDefault="004F64B3" w:rsidP="004F64B3">
      <w:pPr>
        <w:spacing w:line="480" w:lineRule="auto"/>
        <w:rPr>
          <w:sz w:val="24"/>
          <w:szCs w:val="24"/>
        </w:rPr>
      </w:pPr>
      <w:r w:rsidRPr="00A05696">
        <w:rPr>
          <w:sz w:val="24"/>
          <w:szCs w:val="24"/>
        </w:rPr>
        <w:t>We u</w:t>
      </w:r>
      <w:r>
        <w:rPr>
          <w:sz w:val="24"/>
          <w:szCs w:val="24"/>
        </w:rPr>
        <w:t>sed</w:t>
      </w:r>
      <w:r w:rsidRPr="00A056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most comprehensive and at </w:t>
      </w:r>
      <w:r w:rsidRPr="00A05696">
        <w:rPr>
          <w:sz w:val="24"/>
          <w:szCs w:val="24"/>
        </w:rPr>
        <w:t xml:space="preserve">high-resolution global mass coral bleaching database </w:t>
      </w:r>
      <w:r>
        <w:rPr>
          <w:sz w:val="24"/>
          <w:szCs w:val="24"/>
        </w:rPr>
        <w:t xml:space="preserve">[1] </w:t>
      </w:r>
      <w:r w:rsidRPr="00A05696">
        <w:rPr>
          <w:sz w:val="24"/>
          <w:szCs w:val="24"/>
        </w:rPr>
        <w:t>to assess the relationship between the reports and the BAA product</w:t>
      </w:r>
      <w:r w:rsidR="0094002F">
        <w:rPr>
          <w:sz w:val="24"/>
          <w:szCs w:val="24"/>
        </w:rPr>
        <w:t xml:space="preserve"> [2]</w:t>
      </w:r>
      <w:r w:rsidRPr="00A05696">
        <w:rPr>
          <w:sz w:val="24"/>
          <w:szCs w:val="24"/>
        </w:rPr>
        <w:t>. The database comprises 35,779 individual reports that provide latitude and longitude of observations, date (including month and year), bleaching severity, and the corresponding bleaching alert area value</w:t>
      </w:r>
      <w:r>
        <w:rPr>
          <w:sz w:val="24"/>
          <w:szCs w:val="24"/>
        </w:rPr>
        <w:t xml:space="preserve"> (BAA)</w:t>
      </w:r>
      <w:r w:rsidRPr="00A05696">
        <w:rPr>
          <w:sz w:val="24"/>
          <w:szCs w:val="24"/>
        </w:rPr>
        <w:t xml:space="preserve">. With this information, we developed a Random Forest classifier model, employing BAA as a predictor variable and the observed bleaching reports. We opted for the RF classifier method due to its </w:t>
      </w:r>
      <w:r>
        <w:rPr>
          <w:sz w:val="24"/>
          <w:szCs w:val="24"/>
        </w:rPr>
        <w:t xml:space="preserve">better </w:t>
      </w:r>
      <w:r w:rsidRPr="00A05696">
        <w:rPr>
          <w:sz w:val="24"/>
          <w:szCs w:val="24"/>
        </w:rPr>
        <w:t xml:space="preserve">performance compared to other classification methods, as well as its robustness in selecting training samples and handling noise in the training dataset </w:t>
      </w:r>
      <w:r>
        <w:rPr>
          <w:sz w:val="24"/>
          <w:szCs w:val="24"/>
        </w:rPr>
        <w:t>[</w:t>
      </w:r>
      <w:r w:rsidR="0094002F">
        <w:rPr>
          <w:sz w:val="24"/>
          <w:szCs w:val="24"/>
        </w:rPr>
        <w:t>3</w:t>
      </w:r>
      <w:r>
        <w:rPr>
          <w:sz w:val="24"/>
          <w:szCs w:val="24"/>
        </w:rPr>
        <w:t xml:space="preserve">; </w:t>
      </w:r>
      <w:r w:rsidR="0094002F">
        <w:rPr>
          <w:sz w:val="24"/>
          <w:szCs w:val="24"/>
        </w:rPr>
        <w:t>4</w:t>
      </w:r>
      <w:r>
        <w:rPr>
          <w:sz w:val="24"/>
          <w:szCs w:val="24"/>
        </w:rPr>
        <w:t>]</w:t>
      </w:r>
      <w:r w:rsidRPr="00A05696">
        <w:rPr>
          <w:sz w:val="24"/>
          <w:szCs w:val="24"/>
        </w:rPr>
        <w:t>. To evaluate the model's performance, we employed 50,000 trees employing 1000 estimators</w:t>
      </w:r>
      <w:r w:rsidRPr="00FA77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using a </w:t>
      </w:r>
      <w:r w:rsidRPr="00A05696">
        <w:rPr>
          <w:sz w:val="24"/>
          <w:szCs w:val="24"/>
        </w:rPr>
        <w:t>K-fold repeated cross-validation with 5 folds and 10 repeats.</w:t>
      </w:r>
      <w:r>
        <w:rPr>
          <w:sz w:val="24"/>
          <w:szCs w:val="24"/>
        </w:rPr>
        <w:t xml:space="preserve"> (1000 estimators * 5 fold * 10 repetitions).</w:t>
      </w:r>
    </w:p>
    <w:p w14:paraId="6E8372D2" w14:textId="29380F91" w:rsidR="004F64B3" w:rsidRDefault="00B50293" w:rsidP="00B50293">
      <w:pPr>
        <w:pStyle w:val="Heading1"/>
        <w:spacing w:after="240"/>
      </w:pPr>
      <w:r>
        <w:t>References</w:t>
      </w:r>
    </w:p>
    <w:p w14:paraId="398CDF5D" w14:textId="2551ED7A" w:rsidR="00A750F7" w:rsidRPr="00751AF1" w:rsidRDefault="00A750F7" w:rsidP="00B50293">
      <w:pPr>
        <w:pStyle w:val="ListParagraph"/>
        <w:numPr>
          <w:ilvl w:val="0"/>
          <w:numId w:val="2"/>
        </w:numPr>
        <w:spacing w:line="480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0212FB">
        <w:rPr>
          <w:rFonts w:cstheme="minorHAnsi"/>
          <w:sz w:val="24"/>
          <w:szCs w:val="24"/>
        </w:rPr>
        <w:t xml:space="preserve">Virgen-Urcelay, A., &amp; Donner, S. D. (2023). Increase in the extent of mass coral bleaching over the past half-century, based on an updated global database. PloS One, 18(2), e0281719. </w:t>
      </w:r>
      <w:hyperlink r:id="rId6" w:history="1">
        <w:r w:rsidRPr="003C1C74">
          <w:rPr>
            <w:rStyle w:val="Hyperlink"/>
            <w:rFonts w:cstheme="minorHAnsi"/>
            <w:sz w:val="24"/>
            <w:szCs w:val="24"/>
          </w:rPr>
          <w:t>https://doi.org/10.1371/journal.pone.0281719</w:t>
        </w:r>
      </w:hyperlink>
    </w:p>
    <w:p w14:paraId="3AC8AD97" w14:textId="1150C4C0" w:rsidR="00751AF1" w:rsidRPr="00751AF1" w:rsidRDefault="00751AF1" w:rsidP="00751AF1">
      <w:pPr>
        <w:pStyle w:val="ListParagraph"/>
        <w:numPr>
          <w:ilvl w:val="0"/>
          <w:numId w:val="2"/>
        </w:numPr>
        <w:spacing w:line="480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751AF1">
        <w:rPr>
          <w:rStyle w:val="Hyperlink"/>
          <w:rFonts w:cstheme="minorHAnsi"/>
          <w:color w:val="auto"/>
          <w:sz w:val="24"/>
          <w:szCs w:val="24"/>
          <w:u w:val="none"/>
        </w:rPr>
        <w:t xml:space="preserve">NOAA Coral Reef Watch. </w:t>
      </w:r>
      <w:r>
        <w:rPr>
          <w:rStyle w:val="Hyperlink"/>
          <w:rFonts w:cstheme="minorHAnsi"/>
          <w:color w:val="auto"/>
          <w:sz w:val="24"/>
          <w:szCs w:val="24"/>
          <w:u w:val="none"/>
        </w:rPr>
        <w:t>(</w:t>
      </w:r>
      <w:r w:rsidRPr="00751AF1">
        <w:rPr>
          <w:rStyle w:val="Hyperlink"/>
          <w:rFonts w:cstheme="minorHAnsi"/>
          <w:color w:val="auto"/>
          <w:sz w:val="24"/>
          <w:szCs w:val="24"/>
          <w:u w:val="none"/>
        </w:rPr>
        <w:t>2019</w:t>
      </w:r>
      <w:r>
        <w:rPr>
          <w:rStyle w:val="Hyperlink"/>
          <w:rFonts w:cstheme="minorHAnsi"/>
          <w:color w:val="auto"/>
          <w:sz w:val="24"/>
          <w:szCs w:val="24"/>
          <w:u w:val="none"/>
        </w:rPr>
        <w:t>)</w:t>
      </w:r>
      <w:r w:rsidRPr="00751AF1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updated daily. NOAA Coral Reef Watch Version 3.1 Daily 5km Satellite Regional Virtual Station Time Series Data for Southeast Florida, Mar. 12, 2013-Mar. 11, 2014. College Park, Maryland, USA: NOAA Coral Reef Watch. Data set accessed at https://coralreefwatch.noaa.gov </w:t>
      </w:r>
    </w:p>
    <w:p w14:paraId="7C212334" w14:textId="3563ADE7" w:rsidR="00803B67" w:rsidRPr="00803B67" w:rsidRDefault="00803B67" w:rsidP="00803B67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803B67">
        <w:rPr>
          <w:rFonts w:cstheme="minorHAnsi"/>
          <w:sz w:val="24"/>
          <w:szCs w:val="24"/>
        </w:rPr>
        <w:lastRenderedPageBreak/>
        <w:t>Breiman</w:t>
      </w:r>
      <w:r w:rsidR="001B0186">
        <w:rPr>
          <w:rFonts w:cstheme="minorHAnsi"/>
          <w:sz w:val="24"/>
          <w:szCs w:val="24"/>
        </w:rPr>
        <w:t>,</w:t>
      </w:r>
      <w:r w:rsidRPr="00803B67">
        <w:rPr>
          <w:rFonts w:cstheme="minorHAnsi"/>
          <w:sz w:val="24"/>
          <w:szCs w:val="24"/>
        </w:rPr>
        <w:t xml:space="preserve"> L</w:t>
      </w:r>
      <w:r>
        <w:rPr>
          <w:rFonts w:cstheme="minorHAnsi"/>
          <w:sz w:val="24"/>
          <w:szCs w:val="24"/>
        </w:rPr>
        <w:t>.</w:t>
      </w:r>
      <w:r w:rsidRPr="00803B67">
        <w:rPr>
          <w:rFonts w:cstheme="minorHAnsi"/>
          <w:sz w:val="24"/>
          <w:szCs w:val="24"/>
        </w:rPr>
        <w:t xml:space="preserve"> (2001) Random Forests. Mach Learn 45:5–32</w:t>
      </w:r>
      <w:r w:rsidR="00751AF1">
        <w:rPr>
          <w:rFonts w:cstheme="minorHAnsi"/>
          <w:sz w:val="24"/>
          <w:szCs w:val="24"/>
        </w:rPr>
        <w:t xml:space="preserve"> </w:t>
      </w:r>
      <w:hyperlink r:id="rId7" w:history="1">
        <w:r w:rsidR="00751AF1" w:rsidRPr="00B811A4">
          <w:rPr>
            <w:rStyle w:val="Hyperlink"/>
            <w:rFonts w:cstheme="minorHAnsi"/>
            <w:sz w:val="24"/>
            <w:szCs w:val="24"/>
          </w:rPr>
          <w:t>https://doi.org/10.1023/A:1010933404324</w:t>
        </w:r>
      </w:hyperlink>
    </w:p>
    <w:p w14:paraId="07C7C126" w14:textId="126E4DA0" w:rsidR="001B0186" w:rsidRPr="001B0186" w:rsidRDefault="001B0186" w:rsidP="001B0186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1B0186">
        <w:rPr>
          <w:rFonts w:cstheme="minorHAnsi"/>
          <w:sz w:val="24"/>
          <w:szCs w:val="24"/>
        </w:rPr>
        <w:t>Cutler</w:t>
      </w:r>
      <w:r>
        <w:rPr>
          <w:rFonts w:cstheme="minorHAnsi"/>
          <w:sz w:val="24"/>
          <w:szCs w:val="24"/>
        </w:rPr>
        <w:t>,</w:t>
      </w:r>
      <w:r w:rsidRPr="001B0186">
        <w:rPr>
          <w:rFonts w:cstheme="minorHAnsi"/>
          <w:sz w:val="24"/>
          <w:szCs w:val="24"/>
        </w:rPr>
        <w:t xml:space="preserve"> D</w:t>
      </w:r>
      <w:r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>, Edwards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 xml:space="preserve"> T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>, Beard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 xml:space="preserve"> K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>, Cutler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 xml:space="preserve"> A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>, Hess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 xml:space="preserve"> K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>, Gibson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 xml:space="preserve"> J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>, Lawler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 xml:space="preserve"> J</w:t>
      </w:r>
      <w:r w:rsidR="008A5B28">
        <w:rPr>
          <w:rFonts w:cstheme="minorHAnsi"/>
          <w:sz w:val="24"/>
          <w:szCs w:val="24"/>
        </w:rPr>
        <w:t>.</w:t>
      </w:r>
      <w:r w:rsidRPr="001B0186">
        <w:rPr>
          <w:rFonts w:cstheme="minorHAnsi"/>
          <w:sz w:val="24"/>
          <w:szCs w:val="24"/>
        </w:rPr>
        <w:t xml:space="preserve"> (2007) Random Forests for Classification in Ecology. Ecology, 88(11), 2783-2792. </w:t>
      </w:r>
      <w:hyperlink r:id="rId8" w:history="1">
        <w:r w:rsidR="00840775" w:rsidRPr="00253EF6">
          <w:rPr>
            <w:rStyle w:val="Hyperlink"/>
            <w:rFonts w:cstheme="minorHAnsi"/>
            <w:sz w:val="24"/>
            <w:szCs w:val="24"/>
          </w:rPr>
          <w:t>http://www.jstor.org/stable/27651436</w:t>
        </w:r>
      </w:hyperlink>
      <w:r w:rsidR="00840775">
        <w:rPr>
          <w:rFonts w:cstheme="minorHAnsi"/>
          <w:sz w:val="24"/>
          <w:szCs w:val="24"/>
        </w:rPr>
        <w:t xml:space="preserve"> </w:t>
      </w:r>
    </w:p>
    <w:p w14:paraId="4C6F05F8" w14:textId="77777777" w:rsidR="00B50293" w:rsidRPr="00B50293" w:rsidRDefault="00B50293" w:rsidP="00B50293">
      <w:pPr>
        <w:spacing w:line="480" w:lineRule="auto"/>
      </w:pPr>
    </w:p>
    <w:sectPr w:rsidR="00B50293" w:rsidRPr="00B50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053"/>
    <w:multiLevelType w:val="multilevel"/>
    <w:tmpl w:val="CC52F4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80511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42923192">
    <w:abstractNumId w:val="0"/>
  </w:num>
  <w:num w:numId="2" w16cid:durableId="205071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B3"/>
    <w:rsid w:val="001B0186"/>
    <w:rsid w:val="00330500"/>
    <w:rsid w:val="004F64B3"/>
    <w:rsid w:val="005F4627"/>
    <w:rsid w:val="00751AF1"/>
    <w:rsid w:val="00803B67"/>
    <w:rsid w:val="00840775"/>
    <w:rsid w:val="008A5B28"/>
    <w:rsid w:val="0094002F"/>
    <w:rsid w:val="00A750F7"/>
    <w:rsid w:val="00A84FB6"/>
    <w:rsid w:val="00B5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E6D4"/>
  <w15:chartTrackingRefBased/>
  <w15:docId w15:val="{D0C922BF-19E6-4FB4-B888-93F10713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B3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4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4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4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F64B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64B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B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B3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B3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B3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B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B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table" w:styleId="TableGrid">
    <w:name w:val="Table Grid"/>
    <w:basedOn w:val="TableNormal"/>
    <w:uiPriority w:val="39"/>
    <w:rsid w:val="004F64B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4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0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276514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23/A:10109334043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one.0281719" TargetMode="External"/><Relationship Id="rId5" Type="http://schemas.openxmlformats.org/officeDocument/2006/relationships/hyperlink" Target="mailto:pgonzalez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Cuauhtemoc Gonzalez Espinosa</dc:creator>
  <cp:keywords/>
  <dc:description/>
  <cp:lastModifiedBy>Pedro Gonzalez Espinosa</cp:lastModifiedBy>
  <cp:revision>10</cp:revision>
  <dcterms:created xsi:type="dcterms:W3CDTF">2023-08-01T14:51:00Z</dcterms:created>
  <dcterms:modified xsi:type="dcterms:W3CDTF">2023-08-02T23:58:00Z</dcterms:modified>
</cp:coreProperties>
</file>