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2980B9"/>
          <w:sz w:val="40"/>
        </w:rPr>
        <w:t>BUSINESS ANALYTICS ASSIGNMENT REPORT</w:t>
      </w:r>
    </w:p>
    <w:p>
      <w:pPr>
        <w:spacing w:after="320"/>
        <w:jc w:val="center"/>
      </w:pPr>
      <w:r>
        <w:rPr>
          <w:rFonts w:ascii="Calibri" w:hAnsi="Calibri"/>
          <w:i/>
          <w:color w:val="6E6E6E"/>
          <w:sz w:val="26"/>
        </w:rPr>
        <w:t>Week 2: Dynamic Contextual Pricing Engine via Thompson Sampling</w:t>
      </w:r>
    </w:p>
    <w:tbl>
      <w:tblPr>
        <w:tblW w:type="auto" w:w="0"/>
        <w:jc w:val="center"/>
        <w:tblLayout w:type="fixed"/>
        <w:tblLook w:firstColumn="1" w:firstRow="1" w:lastColumn="0" w:lastRow="0" w:noHBand="0" w:noVBand="1" w:val="04A0"/>
      </w:tblPr>
      <w:tblGrid>
        <w:gridCol w:w="4680"/>
        <w:gridCol w:w="4680"/>
      </w:tblGrid>
      <w:tr>
        <w:tc>
          <w:tcPr>
            <w:tcW w:type="dxa" w:w="3168"/>
            <w:shd w:fill="F2F5F8"/>
            <w:tcMar>
              <w:top w:w="120" w:type="dxa"/>
              <w:bottom w:w="120" w:type="dxa"/>
              <w:left w:w="150" w:type="dxa"/>
              <w:right w:w="150" w:type="dxa"/>
            </w:tcMar>
          </w:tcPr>
          <w:p>
            <w:pPr>
              <w:spacing w:before="80" w:after="80"/>
            </w:pPr>
            <w:r>
              <w:rPr>
                <w:rFonts w:ascii="Calibri" w:hAnsi="Calibri"/>
                <w:b/>
                <w:color w:val="2980B9"/>
                <w:sz w:val="21"/>
              </w:rPr>
              <w:t>Student Name:</w:t>
            </w:r>
          </w:p>
        </w:tc>
        <w:tc>
          <w:tcPr>
            <w:tcW w:type="dxa" w:w="6192"/>
            <w:shd w:fill="FAFBFC"/>
            <w:tcMar>
              <w:top w:w="120" w:type="dxa"/>
              <w:bottom w:w="120" w:type="dxa"/>
              <w:left w:w="150" w:type="dxa"/>
              <w:right w:w="150" w:type="dxa"/>
            </w:tcMar>
          </w:tcPr>
          <w:p>
            <w:pPr>
              <w:spacing w:before="80" w:after="80"/>
            </w:pPr>
            <w:r>
              <w:rPr>
                <w:rFonts w:ascii="Calibri" w:hAnsi="Calibri"/>
                <w:color w:val="333333"/>
                <w:sz w:val="21"/>
              </w:rPr>
              <w:t>P. Gowrishankar</w:t>
            </w:r>
          </w:p>
        </w:tc>
      </w:tr>
      <w:tr>
        <w:tc>
          <w:tcPr>
            <w:tcW w:type="dxa" w:w="3168"/>
            <w:shd w:fill="F2F5F8"/>
            <w:tcMar>
              <w:top w:w="120" w:type="dxa"/>
              <w:bottom w:w="120" w:type="dxa"/>
              <w:left w:w="150" w:type="dxa"/>
              <w:right w:w="150" w:type="dxa"/>
            </w:tcMar>
          </w:tcPr>
          <w:p>
            <w:pPr>
              <w:spacing w:before="80" w:after="80"/>
            </w:pPr>
            <w:r>
              <w:rPr>
                <w:rFonts w:ascii="Calibri" w:hAnsi="Calibri"/>
                <w:b/>
                <w:color w:val="2980B9"/>
                <w:sz w:val="21"/>
              </w:rPr>
              <w:t>Enrollment Number:</w:t>
            </w:r>
          </w:p>
        </w:tc>
        <w:tc>
          <w:tcPr>
            <w:tcW w:type="dxa" w:w="6192"/>
            <w:shd w:fill="FAFBFC"/>
            <w:tcMar>
              <w:top w:w="120" w:type="dxa"/>
              <w:bottom w:w="120" w:type="dxa"/>
              <w:left w:w="150" w:type="dxa"/>
              <w:right w:w="150" w:type="dxa"/>
            </w:tcMar>
          </w:tcPr>
          <w:p>
            <w:pPr>
              <w:spacing w:before="80" w:after="80"/>
            </w:pPr>
            <w:r>
              <w:rPr>
                <w:rFonts w:ascii="Calibri" w:hAnsi="Calibri"/>
                <w:color w:val="333333"/>
                <w:sz w:val="21"/>
              </w:rPr>
              <w:t>TU6253210211017</w:t>
            </w:r>
          </w:p>
        </w:tc>
      </w:tr>
      <w:tr>
        <w:tc>
          <w:tcPr>
            <w:tcW w:type="dxa" w:w="3168"/>
            <w:shd w:fill="F2F5F8"/>
            <w:tcMar>
              <w:top w:w="120" w:type="dxa"/>
              <w:bottom w:w="120" w:type="dxa"/>
              <w:left w:w="150" w:type="dxa"/>
              <w:right w:w="150" w:type="dxa"/>
            </w:tcMar>
          </w:tcPr>
          <w:p>
            <w:pPr>
              <w:spacing w:before="80" w:after="80"/>
            </w:pPr>
            <w:r>
              <w:rPr>
                <w:rFonts w:ascii="Calibri" w:hAnsi="Calibri"/>
                <w:b/>
                <w:color w:val="2980B9"/>
                <w:sz w:val="21"/>
              </w:rPr>
              <w:t>Subject:</w:t>
            </w:r>
          </w:p>
        </w:tc>
        <w:tc>
          <w:tcPr>
            <w:tcW w:type="dxa" w:w="6192"/>
            <w:shd w:fill="FAFBFC"/>
            <w:tcMar>
              <w:top w:w="120" w:type="dxa"/>
              <w:bottom w:w="120" w:type="dxa"/>
              <w:left w:w="150" w:type="dxa"/>
              <w:right w:w="150" w:type="dxa"/>
            </w:tcMar>
          </w:tcPr>
          <w:p>
            <w:pPr>
              <w:spacing w:before="80" w:after="80"/>
            </w:pPr>
            <w:r>
              <w:rPr>
                <w:rFonts w:ascii="Calibri" w:hAnsi="Calibri"/>
                <w:color w:val="333333"/>
                <w:sz w:val="21"/>
              </w:rPr>
              <w:t>Business Analytics</w:t>
            </w:r>
          </w:p>
        </w:tc>
      </w:tr>
      <w:tr>
        <w:tc>
          <w:tcPr>
            <w:tcW w:type="dxa" w:w="3168"/>
            <w:shd w:fill="F2F5F8"/>
            <w:tcMar>
              <w:top w:w="120" w:type="dxa"/>
              <w:bottom w:w="120" w:type="dxa"/>
              <w:left w:w="150" w:type="dxa"/>
              <w:right w:w="150" w:type="dxa"/>
            </w:tcMar>
          </w:tcPr>
          <w:p>
            <w:pPr>
              <w:spacing w:before="80" w:after="80"/>
            </w:pPr>
            <w:r>
              <w:rPr>
                <w:rFonts w:ascii="Calibri" w:hAnsi="Calibri"/>
                <w:b/>
                <w:color w:val="2980B9"/>
                <w:sz w:val="21"/>
              </w:rPr>
              <w:t>Task Name:</w:t>
            </w:r>
          </w:p>
        </w:tc>
        <w:tc>
          <w:tcPr>
            <w:tcW w:type="dxa" w:w="6192"/>
            <w:shd w:fill="FAFBFC"/>
            <w:tcMar>
              <w:top w:w="120" w:type="dxa"/>
              <w:bottom w:w="120" w:type="dxa"/>
              <w:left w:w="150" w:type="dxa"/>
              <w:right w:w="150" w:type="dxa"/>
            </w:tcMar>
          </w:tcPr>
          <w:p>
            <w:pPr>
              <w:spacing w:before="80" w:after="80"/>
            </w:pPr>
            <w:r>
              <w:rPr>
                <w:rFonts w:ascii="Calibri" w:hAnsi="Calibri"/>
                <w:color w:val="333333"/>
                <w:sz w:val="21"/>
              </w:rPr>
              <w:t>Dynamic Contextual Pricing Engine with Multi-Armed Bandits (Thompson Sampling) [cite: 6]</w:t>
            </w:r>
          </w:p>
        </w:tc>
      </w:tr>
    </w:tbl>
    <w:p>
      <w:pPr>
        <w:spacing w:before="240"/>
      </w:pPr>
    </w:p>
    <w:p>
      <w:pPr>
        <w:keepNext/>
        <w:spacing w:before="360" w:after="120"/>
      </w:pPr>
      <w:r>
        <w:rPr>
          <w:rFonts w:ascii="Calibri" w:hAnsi="Calibri"/>
          <w:b/>
          <w:color w:val="2980B9"/>
          <w:sz w:val="28"/>
        </w:rPr>
        <w:t>1. Introduction</w:t>
      </w:r>
    </w:p>
    <w:p>
      <w:pPr>
        <w:spacing w:before="0" w:after="120" w:line="276" w:lineRule="auto"/>
      </w:pPr>
      <w:r>
        <w:rPr>
          <w:rFonts w:ascii="Calibri" w:hAnsi="Calibri"/>
          <w:color w:val="333333"/>
          <w:sz w:val="22"/>
        </w:rPr>
        <w:t>In contemporary digital commerce and competitive e-commerce ecosystems, static pricing models fail to capture rapid fluctuations in market demand, competitor positioning, and customer willingness to pay. To sustain revenue growth, enterprises must deploy adaptive pricing systems capable of real-time optimization [cite: 6].</w:t>
      </w:r>
    </w:p>
    <w:p>
      <w:pPr>
        <w:spacing w:before="0" w:after="120" w:line="276" w:lineRule="auto"/>
      </w:pPr>
      <w:r>
        <w:rPr>
          <w:rFonts w:ascii="Calibri" w:hAnsi="Calibri"/>
          <w:color w:val="333333"/>
          <w:sz w:val="22"/>
        </w:rPr>
        <w:t>This project focuses on the design and implementation of a Dynamic Contextual Pricing Engine using Multi-Armed Bandits with the Thompson Sampling algorithm [cite: 6]. By framing pricing options as continuous bandit arms, the system continuously balances exploration (testing new price points) and exploitation (maximizing immediate revenue based on known conversion rates) [cite: 6].</w:t>
      </w:r>
    </w:p>
    <w:p>
      <w:pPr>
        <w:keepNext/>
        <w:spacing w:before="360" w:after="120"/>
      </w:pPr>
      <w:r>
        <w:rPr>
          <w:rFonts w:ascii="Calibri" w:hAnsi="Calibri"/>
          <w:b/>
          <w:color w:val="2980B9"/>
          <w:sz w:val="28"/>
        </w:rPr>
        <w:t>2. Problem Statement &amp; Objectives</w:t>
      </w:r>
    </w:p>
    <w:p>
      <w:pPr>
        <w:spacing w:before="0" w:after="120" w:line="276" w:lineRule="auto"/>
      </w:pPr>
      <w:r>
        <w:rPr>
          <w:rFonts w:ascii="Calibri" w:hAnsi="Calibri"/>
          <w:color w:val="333333"/>
          <w:sz w:val="22"/>
        </w:rPr>
        <w:t>The primary goal is to simulate automated price adjustments in response to live customer interactions and external market shocks [cite: 6]. Key objectives include:</w:t>
      </w:r>
    </w:p>
    <w:p>
      <w:pPr>
        <w:pStyle w:val="ListBullet"/>
        <w:spacing w:before="0" w:after="80" w:line="276" w:lineRule="auto"/>
      </w:pPr>
      <w:r>
        <w:rPr>
          <w:rFonts w:ascii="Calibri" w:hAnsi="Calibri"/>
          <w:b/>
          <w:color w:val="2980B9"/>
          <w:sz w:val="22"/>
        </w:rPr>
        <w:t xml:space="preserve">Dynamic Pricing Simulation: </w:t>
      </w:r>
      <w:r>
        <w:rPr>
          <w:rFonts w:ascii="Calibri" w:hAnsi="Calibri"/>
          <w:color w:val="333333"/>
          <w:sz w:val="22"/>
        </w:rPr>
        <w:t>Design an automated environment modeling purchase and non-purchase feedback loops [cite: 6].</w:t>
      </w:r>
    </w:p>
    <w:p>
      <w:pPr>
        <w:pStyle w:val="ListBullet"/>
        <w:spacing w:before="0" w:after="80" w:line="276" w:lineRule="auto"/>
      </w:pPr>
      <w:r>
        <w:rPr>
          <w:rFonts w:ascii="Calibri" w:hAnsi="Calibri"/>
          <w:b/>
          <w:color w:val="2980B9"/>
          <w:sz w:val="22"/>
        </w:rPr>
        <w:t xml:space="preserve">Probabilistic Modeling: </w:t>
      </w:r>
      <w:r>
        <w:rPr>
          <w:rFonts w:ascii="Calibri" w:hAnsi="Calibri"/>
          <w:color w:val="333333"/>
          <w:sz w:val="22"/>
        </w:rPr>
        <w:t>Represent price points as continuous bandit arms and track conversion rates using Beta posterior distributions [cite: 6].</w:t>
      </w:r>
    </w:p>
    <w:p>
      <w:pPr>
        <w:pStyle w:val="ListBullet"/>
        <w:spacing w:before="0" w:after="80" w:line="276" w:lineRule="auto"/>
      </w:pPr>
      <w:r>
        <w:rPr>
          <w:rFonts w:ascii="Calibri" w:hAnsi="Calibri"/>
          <w:b/>
          <w:color w:val="2980B9"/>
          <w:sz w:val="22"/>
        </w:rPr>
        <w:t xml:space="preserve">Thompson Sampling Implementation: </w:t>
      </w:r>
      <w:r>
        <w:rPr>
          <w:rFonts w:ascii="Calibri" w:hAnsi="Calibri"/>
          <w:color w:val="333333"/>
          <w:sz w:val="22"/>
        </w:rPr>
        <w:t>Apply Bayesian probability sampling to select optimal prices while balancing exploration and exploitation [cite: 6].</w:t>
      </w:r>
    </w:p>
    <w:p>
      <w:pPr>
        <w:pStyle w:val="ListBullet"/>
        <w:spacing w:before="0" w:after="80" w:line="276" w:lineRule="auto"/>
      </w:pPr>
      <w:r>
        <w:rPr>
          <w:rFonts w:ascii="Calibri" w:hAnsi="Calibri"/>
          <w:b/>
          <w:color w:val="2980B9"/>
          <w:sz w:val="22"/>
        </w:rPr>
        <w:t xml:space="preserve">Market Adaptation: </w:t>
      </w:r>
      <w:r>
        <w:rPr>
          <w:rFonts w:ascii="Calibri" w:hAnsi="Calibri"/>
          <w:color w:val="333333"/>
          <w:sz w:val="22"/>
        </w:rPr>
        <w:t>Ensure the engine adapts smoothly to competitive price shocks and seasonal demand shifts [cite: 6].</w:t>
      </w:r>
    </w:p>
    <w:p>
      <w:pPr>
        <w:keepNext/>
        <w:spacing w:before="360" w:after="120"/>
      </w:pPr>
      <w:r>
        <w:rPr>
          <w:rFonts w:ascii="Calibri" w:hAnsi="Calibri"/>
          <w:b/>
          <w:color w:val="2980B9"/>
          <w:sz w:val="28"/>
        </w:rPr>
        <w:t>3. Algorithm &amp; Architecture</w:t>
      </w:r>
    </w:p>
    <w:p>
      <w:pPr>
        <w:spacing w:before="0" w:after="120" w:line="276" w:lineRule="auto"/>
      </w:pPr>
      <w:r>
        <w:rPr>
          <w:rFonts w:ascii="Calibri" w:hAnsi="Calibri"/>
          <w:color w:val="333333"/>
          <w:sz w:val="22"/>
        </w:rPr>
        <w:t>The pricing engine relies on Beta-Binomial conjugacy. For each price arm, success (purchase) and failure (non-purchase) counts are maintained as hyperparameters (α, β). Thompson Sampling draws random samples from each arm's posterior Beta distribution and selects the price corresponding to the highest sampled conversion probability.</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before="0" w:after="0"/>
            </w:pPr>
            <w:r>
              <w:rPr>
                <w:rFonts w:ascii="Consolas" w:hAnsi="Consolas"/>
                <w:color w:val="282828"/>
                <w:sz w:val="19"/>
              </w:rPr>
              <w:t>import numpy as np</w:t>
              <w:br/>
              <w:br/>
              <w:t>class ThompsonSamplingPricingEngine:</w:t>
              <w:br/>
              <w:t xml:space="preserve">    def __init__(self, prices):</w:t>
              <w:br/>
              <w:t xml:space="preserve">        self.prices = prices</w:t>
              <w:br/>
              <w:t xml:space="preserve">        self.alpha = np.ones(len(prices))  # Success counts</w:t>
              <w:br/>
              <w:t xml:space="preserve">        self.beta = np.ones(len(prices))   # Failure counts</w:t>
              <w:br/>
              <w:br/>
              <w:t xml:space="preserve">    def select_price(self):</w:t>
              <w:br/>
              <w:t xml:space="preserve">        # Sample from posterior Beta distributions</w:t>
              <w:br/>
              <w:t xml:space="preserve">        samples = np.random.beta(self.alpha, self.beta)</w:t>
              <w:br/>
              <w:t xml:space="preserve">        chosen_idx = np.argmax(samples * self.prices)</w:t>
              <w:br/>
              <w:t xml:space="preserve">        return self.prices[chosen_idx], chosen_idx</w:t>
              <w:br/>
              <w:br/>
              <w:t xml:space="preserve">    def update(self, idx, success):</w:t>
              <w:br/>
              <w:t xml:space="preserve">        if success:</w:t>
              <w:br/>
              <w:t xml:space="preserve">            self.alpha[idx] += 1</w:t>
              <w:br/>
              <w:t xml:space="preserve">        else:</w:t>
              <w:br/>
              <w:t xml:space="preserve">            self.beta[idx] += 1</w:t>
            </w:r>
          </w:p>
        </w:tc>
      </w:tr>
    </w:tbl>
    <w:p>
      <w:pPr>
        <w:spacing w:before="120"/>
      </w:pPr>
    </w:p>
    <w:p>
      <w:pPr>
        <w:keepNext/>
        <w:spacing w:before="360" w:after="120"/>
      </w:pPr>
      <w:r>
        <w:rPr>
          <w:rFonts w:ascii="Calibri" w:hAnsi="Calibri"/>
          <w:b/>
          <w:color w:val="2980B9"/>
          <w:sz w:val="28"/>
        </w:rPr>
        <w:t>4. Evaluation &amp; Expected Outcomes</w:t>
      </w:r>
    </w:p>
    <w:p>
      <w:pPr>
        <w:pStyle w:val="ListBullet"/>
        <w:spacing w:before="0" w:after="80" w:line="276" w:lineRule="auto"/>
      </w:pPr>
      <w:r>
        <w:rPr>
          <w:rFonts w:ascii="Calibri" w:hAnsi="Calibri"/>
          <w:b/>
          <w:color w:val="2980B9"/>
          <w:sz w:val="22"/>
        </w:rPr>
        <w:t xml:space="preserve">Cumulative Revenue Optimization: </w:t>
      </w:r>
      <w:r>
        <w:rPr>
          <w:rFonts w:ascii="Calibri" w:hAnsi="Calibri"/>
          <w:color w:val="333333"/>
          <w:sz w:val="22"/>
        </w:rPr>
        <w:t>Demonstrate superior revenue capture compared to static or random pricing baselines [cite: 6].</w:t>
      </w:r>
    </w:p>
    <w:p>
      <w:pPr>
        <w:pStyle w:val="ListBullet"/>
        <w:spacing w:before="0" w:after="80" w:line="276" w:lineRule="auto"/>
      </w:pPr>
      <w:r>
        <w:rPr>
          <w:rFonts w:ascii="Calibri" w:hAnsi="Calibri"/>
          <w:b/>
          <w:color w:val="2980B9"/>
          <w:sz w:val="22"/>
        </w:rPr>
        <w:t xml:space="preserve">Adaptability to Market Shocks: </w:t>
      </w:r>
      <w:r>
        <w:rPr>
          <w:rFonts w:ascii="Calibri" w:hAnsi="Calibri"/>
          <w:color w:val="333333"/>
          <w:sz w:val="22"/>
        </w:rPr>
        <w:t>Verify that posterior distributions shift rapidly when simulated competitor price cuts occur [cite: 6].</w:t>
      </w:r>
    </w:p>
    <w:p>
      <w:pPr>
        <w:pStyle w:val="ListBullet"/>
        <w:spacing w:before="0" w:after="80" w:line="276" w:lineRule="auto"/>
      </w:pPr>
      <w:r>
        <w:rPr>
          <w:rFonts w:ascii="Calibri" w:hAnsi="Calibri"/>
          <w:b/>
          <w:color w:val="2980B9"/>
          <w:sz w:val="22"/>
        </w:rPr>
        <w:t xml:space="preserve">Convergence Efficiency: </w:t>
      </w:r>
      <w:r>
        <w:rPr>
          <w:rFonts w:ascii="Calibri" w:hAnsi="Calibri"/>
          <w:color w:val="333333"/>
          <w:sz w:val="22"/>
        </w:rPr>
        <w:t>Measure how quickly the algorithm zeroes in on the profit-maximizing price point [cite: 6].</w:t>
      </w:r>
    </w:p>
    <w:p>
      <w:pPr>
        <w:keepNext/>
        <w:spacing w:before="360" w:after="120"/>
      </w:pPr>
      <w:r>
        <w:rPr>
          <w:rFonts w:ascii="Calibri" w:hAnsi="Calibri"/>
          <w:b/>
          <w:color w:val="2980B9"/>
          <w:sz w:val="28"/>
        </w:rPr>
        <w:t>5. Conclusion</w:t>
      </w:r>
    </w:p>
    <w:p>
      <w:pPr>
        <w:spacing w:before="0" w:after="120" w:line="276" w:lineRule="auto"/>
      </w:pPr>
      <w:r>
        <w:rPr>
          <w:rFonts w:ascii="Calibri" w:hAnsi="Calibri"/>
          <w:color w:val="333333"/>
          <w:sz w:val="22"/>
        </w:rPr>
        <w:t>This Week 2 project successfully bridges statistical learning theory with applied Business Analytics engineering [cite: 6]. By implementing Thompson Sampling for dynamic contextual pricing, organizations can automate revenue optimization, mitigate the risks of manual pricing errors, and maintain high resilience against dynamic market shocks [cite: 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