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C0392B"/>
          <w:sz w:val="36"/>
        </w:rPr>
        <w:t>WEEK-2 TASK REPORT</w:t>
      </w:r>
    </w:p>
    <w:p>
      <w:pPr>
        <w:spacing w:after="280"/>
        <w:jc w:val="center"/>
      </w:pPr>
      <w:r>
        <w:rPr>
          <w:rFonts w:ascii="Calibri" w:hAnsi="Calibri"/>
          <w:b/>
          <w:color w:val="5A5A5A"/>
          <w:sz w:val="22"/>
        </w:rPr>
        <w:t>Dynamic Contextual Pricing Engine with Multi-Armed Bandits (Thompson Sampling)</w:t>
      </w:r>
    </w:p>
    <w:tbl>
      <w:tblPr>
        <w:tblW w:type="auto" w:w="0"/>
        <w:jc w:val="center"/>
        <w:tblLayout w:type="fixed"/>
        <w:tblLook w:firstColumn="1" w:firstRow="1" w:lastColumn="0" w:lastRow="0" w:noHBand="0" w:noVBand="1" w:val="04A0"/>
      </w:tblPr>
      <w:tblGrid>
        <w:gridCol w:w="4680"/>
        <w:gridCol w:w="4680"/>
      </w:tblGrid>
      <w:tr>
        <w:tc>
          <w:tcPr>
            <w:tcW w:type="dxa" w:w="3168"/>
            <w:shd w:fill="F4F6F9"/>
            <w:tcMar>
              <w:top w:w="100" w:type="dxa"/>
              <w:bottom w:w="100" w:type="dxa"/>
              <w:left w:w="150" w:type="dxa"/>
              <w:right w:w="150" w:type="dxa"/>
            </w:tcMar>
          </w:tcPr>
          <w:p>
            <w:pPr>
              <w:spacing w:before="80" w:after="80"/>
            </w:pPr>
            <w:r>
              <w:rPr>
                <w:rFonts w:ascii="Calibri" w:hAnsi="Calibri"/>
                <w:b/>
                <w:color w:val="C0392B"/>
                <w:sz w:val="20"/>
              </w:rPr>
              <w:t>Student Name:</w:t>
            </w:r>
          </w:p>
        </w:tc>
        <w:tc>
          <w:tcPr>
            <w:tcW w:type="dxa" w:w="6192"/>
            <w:shd w:fill="FAFBFC"/>
            <w:tcMar>
              <w:top w:w="100" w:type="dxa"/>
              <w:bottom w:w="100" w:type="dxa"/>
              <w:left w:w="150" w:type="dxa"/>
              <w:right w:w="150" w:type="dxa"/>
            </w:tcMar>
          </w:tcPr>
          <w:p>
            <w:pPr>
              <w:spacing w:before="80" w:after="80"/>
            </w:pPr>
            <w:r>
              <w:rPr>
                <w:rFonts w:ascii="Calibri" w:hAnsi="Calibri"/>
                <w:color w:val="333333"/>
                <w:sz w:val="20"/>
              </w:rPr>
              <w:t>P. Gowrishankar</w:t>
            </w:r>
          </w:p>
        </w:tc>
      </w:tr>
      <w:tr>
        <w:tc>
          <w:tcPr>
            <w:tcW w:type="dxa" w:w="3168"/>
            <w:shd w:fill="F4F6F9"/>
            <w:tcMar>
              <w:top w:w="100" w:type="dxa"/>
              <w:bottom w:w="100" w:type="dxa"/>
              <w:left w:w="150" w:type="dxa"/>
              <w:right w:w="150" w:type="dxa"/>
            </w:tcMar>
          </w:tcPr>
          <w:p>
            <w:pPr>
              <w:spacing w:before="80" w:after="80"/>
            </w:pPr>
            <w:r>
              <w:rPr>
                <w:rFonts w:ascii="Calibri" w:hAnsi="Calibri"/>
                <w:b/>
                <w:color w:val="C0392B"/>
                <w:sz w:val="20"/>
              </w:rPr>
              <w:t>Enrollment Number:</w:t>
            </w:r>
          </w:p>
        </w:tc>
        <w:tc>
          <w:tcPr>
            <w:tcW w:type="dxa" w:w="6192"/>
            <w:shd w:fill="FAFBFC"/>
            <w:tcMar>
              <w:top w:w="100" w:type="dxa"/>
              <w:bottom w:w="100" w:type="dxa"/>
              <w:left w:w="150" w:type="dxa"/>
              <w:right w:w="150" w:type="dxa"/>
            </w:tcMar>
          </w:tcPr>
          <w:p>
            <w:pPr>
              <w:spacing w:before="80" w:after="80"/>
            </w:pPr>
            <w:r>
              <w:rPr>
                <w:rFonts w:ascii="Calibri" w:hAnsi="Calibri"/>
                <w:color w:val="333333"/>
                <w:sz w:val="20"/>
              </w:rPr>
              <w:t>TU6253210211017</w:t>
            </w:r>
          </w:p>
        </w:tc>
      </w:tr>
      <w:tr>
        <w:tc>
          <w:tcPr>
            <w:tcW w:type="dxa" w:w="3168"/>
            <w:shd w:fill="F4F6F9"/>
            <w:tcMar>
              <w:top w:w="100" w:type="dxa"/>
              <w:bottom w:w="100" w:type="dxa"/>
              <w:left w:w="150" w:type="dxa"/>
              <w:right w:w="150" w:type="dxa"/>
            </w:tcMar>
          </w:tcPr>
          <w:p>
            <w:pPr>
              <w:spacing w:before="80" w:after="80"/>
            </w:pPr>
            <w:r>
              <w:rPr>
                <w:rFonts w:ascii="Calibri" w:hAnsi="Calibri"/>
                <w:b/>
                <w:color w:val="C0392B"/>
                <w:sz w:val="20"/>
              </w:rPr>
              <w:t>Task Module:</w:t>
            </w:r>
          </w:p>
        </w:tc>
        <w:tc>
          <w:tcPr>
            <w:tcW w:type="dxa" w:w="6192"/>
            <w:shd w:fill="FAFBFC"/>
            <w:tcMar>
              <w:top w:w="100" w:type="dxa"/>
              <w:bottom w:w="100" w:type="dxa"/>
              <w:left w:w="150" w:type="dxa"/>
              <w:right w:w="150" w:type="dxa"/>
            </w:tcMar>
          </w:tcPr>
          <w:p>
            <w:pPr>
              <w:spacing w:before="80" w:after="80"/>
            </w:pPr>
            <w:r>
              <w:rPr>
                <w:rFonts w:ascii="Calibri" w:hAnsi="Calibri"/>
                <w:color w:val="333333"/>
                <w:sz w:val="20"/>
              </w:rPr>
              <w:t>Thompson Sampling Exploration-Exploitation Trade-off Engine</w:t>
            </w:r>
          </w:p>
        </w:tc>
      </w:tr>
      <w:tr>
        <w:tc>
          <w:tcPr>
            <w:tcW w:type="dxa" w:w="3168"/>
            <w:shd w:fill="F4F6F9"/>
            <w:tcMar>
              <w:top w:w="100" w:type="dxa"/>
              <w:bottom w:w="100" w:type="dxa"/>
              <w:left w:w="150" w:type="dxa"/>
              <w:right w:w="150" w:type="dxa"/>
            </w:tcMar>
          </w:tcPr>
          <w:p>
            <w:pPr>
              <w:spacing w:before="80" w:after="80"/>
            </w:pPr>
            <w:r>
              <w:rPr>
                <w:rFonts w:ascii="Calibri" w:hAnsi="Calibri"/>
                <w:b/>
                <w:color w:val="C0392B"/>
                <w:sz w:val="20"/>
              </w:rPr>
              <w:t>Core Framework:</w:t>
            </w:r>
          </w:p>
        </w:tc>
        <w:tc>
          <w:tcPr>
            <w:tcW w:type="dxa" w:w="6192"/>
            <w:shd w:fill="FAFBFC"/>
            <w:tcMar>
              <w:top w:w="100" w:type="dxa"/>
              <w:bottom w:w="100" w:type="dxa"/>
              <w:left w:w="150" w:type="dxa"/>
              <w:right w:w="150" w:type="dxa"/>
            </w:tcMar>
          </w:tcPr>
          <w:p>
            <w:pPr>
              <w:spacing w:before="80" w:after="80"/>
            </w:pPr>
            <w:r>
              <w:rPr>
                <w:rFonts w:ascii="Calibri" w:hAnsi="Calibri"/>
                <w:color w:val="333333"/>
                <w:sz w:val="20"/>
              </w:rPr>
              <w:t>Multi-Armed Bandits &amp; Thompson Sampling</w:t>
            </w:r>
          </w:p>
        </w:tc>
      </w:tr>
    </w:tbl>
    <w:p>
      <w:pPr>
        <w:spacing w:before="160"/>
      </w:pPr>
    </w:p>
    <w:p>
      <w:pPr>
        <w:keepNext/>
        <w:spacing w:before="280" w:after="80"/>
      </w:pPr>
      <w:r>
        <w:rPr>
          <w:rFonts w:ascii="Calibri" w:hAnsi="Calibri"/>
          <w:b/>
          <w:color w:val="C0392B"/>
          <w:sz w:val="26"/>
        </w:rPr>
        <w:t>1. Task Design &amp; Architectural Overview</w:t>
      </w:r>
    </w:p>
    <w:p>
      <w:pPr>
        <w:spacing w:before="0" w:after="100" w:line="276" w:lineRule="auto"/>
      </w:pPr>
      <w:r>
        <w:rPr>
          <w:rFonts w:ascii="Calibri" w:hAnsi="Calibri"/>
          <w:color w:val="333333"/>
          <w:sz w:val="21"/>
        </w:rPr>
        <w:t>Balancing exploration and exploitation is critical for maximizing short-term revenue while discovering optimal long-term pricing points. This module executes Thompson Sampling by drawing random probability samples from each price tier's posterior Beta distribution [cite: 6].</w:t>
      </w:r>
    </w:p>
    <w:p>
      <w:pPr>
        <w:keepNext/>
        <w:spacing w:before="280" w:after="80"/>
      </w:pPr>
      <w:r>
        <w:rPr>
          <w:rFonts w:ascii="Calibri" w:hAnsi="Calibri"/>
          <w:b/>
          <w:color w:val="C0392B"/>
          <w:sz w:val="26"/>
        </w:rPr>
        <w:t>2. Mathematical &amp; Algorithmic Implementation</w:t>
      </w:r>
    </w:p>
    <w:p>
      <w:pPr>
        <w:spacing w:before="0" w:after="100" w:line="276" w:lineRule="auto"/>
      </w:pPr>
      <w:r>
        <w:rPr>
          <w:rFonts w:ascii="Calibri" w:hAnsi="Calibri"/>
          <w:color w:val="333333"/>
          <w:sz w:val="21"/>
        </w:rPr>
        <w:t>The price tier yielding the maximum sampled conversion probability multiplied by its respective price point is selected for the incoming consumer session. This probabilistic mechanism naturally throttles exploration of underperforming prices while aggressively exploiting high-converting tiers [cite: 6].</w:t>
      </w:r>
    </w:p>
    <w:p>
      <w:pPr>
        <w:pStyle w:val="ListBullet"/>
        <w:spacing w:before="0" w:after="60" w:line="276" w:lineRule="auto"/>
      </w:pPr>
      <w:r>
        <w:rPr>
          <w:rFonts w:ascii="Calibri" w:hAnsi="Calibri"/>
          <w:b/>
          <w:color w:val="C0392B"/>
          <w:sz w:val="21"/>
        </w:rPr>
        <w:t xml:space="preserve">Assigned Module Focus: </w:t>
      </w:r>
      <w:r>
        <w:rPr>
          <w:rFonts w:ascii="Calibri" w:hAnsi="Calibri"/>
          <w:color w:val="333333"/>
          <w:sz w:val="21"/>
        </w:rPr>
        <w:t>Thompson Sampling Exploration-Exploitation Trade-off Engine</w:t>
      </w:r>
    </w:p>
    <w:p>
      <w:pPr>
        <w:pStyle w:val="ListBullet"/>
        <w:spacing w:before="0" w:after="60" w:line="276" w:lineRule="auto"/>
      </w:pPr>
      <w:r>
        <w:rPr>
          <w:rFonts w:ascii="Calibri" w:hAnsi="Calibri"/>
          <w:b/>
          <w:color w:val="C0392B"/>
          <w:sz w:val="21"/>
        </w:rPr>
        <w:t xml:space="preserve">Execution Protocol: </w:t>
      </w:r>
      <w:r>
        <w:rPr>
          <w:rFonts w:ascii="Calibri" w:hAnsi="Calibri"/>
          <w:color w:val="333333"/>
          <w:sz w:val="21"/>
        </w:rPr>
        <w:t>Operating on real-time feedback loops to update posterior distributions dynamically [cite: 6].</w:t>
      </w:r>
    </w:p>
    <w:p>
      <w:pPr>
        <w:keepNext/>
        <w:spacing w:before="280" w:after="80"/>
      </w:pPr>
      <w:r>
        <w:rPr>
          <w:rFonts w:ascii="Calibri" w:hAnsi="Calibri"/>
          <w:b/>
          <w:color w:val="C0392B"/>
          <w:sz w:val="26"/>
        </w:rPr>
        <w:t>3. Python Simulation Script</w:t>
      </w:r>
    </w:p>
    <w:p>
      <w:pPr>
        <w:spacing w:before="0" w:after="100" w:line="276" w:lineRule="auto"/>
      </w:pPr>
      <w:r>
        <w:rPr>
          <w:rFonts w:ascii="Calibri" w:hAnsi="Calibri"/>
          <w:color w:val="333333"/>
          <w:sz w:val="21"/>
        </w:rPr>
        <w:t>Core code module engineered for this specific task specification:</w:t>
      </w:r>
    </w:p>
    <w:tbl>
      <w:tblPr>
        <w:tblW w:type="auto" w:w="0"/>
        <w:jc w:val="center"/>
        <w:tblLook w:firstColumn="1" w:firstRow="1" w:lastColumn="0" w:lastRow="0" w:noHBand="0" w:noVBand="1" w:val="04A0"/>
      </w:tblPr>
      <w:tblGrid>
        <w:gridCol w:w="9360"/>
      </w:tblGrid>
      <w:tr>
        <w:tc>
          <w:tcPr>
            <w:tcW w:type="dxa" w:w="9360"/>
            <w:shd w:fill="F8F9FA"/>
            <w:tcMar>
              <w:top w:w="120" w:type="dxa"/>
              <w:bottom w:w="120" w:type="dxa"/>
              <w:left w:w="150" w:type="dxa"/>
              <w:right w:w="150" w:type="dxa"/>
            </w:tcMar>
          </w:tcPr>
          <w:p>
            <w:pPr>
              <w:spacing w:before="0" w:after="0"/>
            </w:pPr>
            <w:r>
              <w:rPr>
                <w:rFonts w:ascii="Consolas" w:hAnsi="Consolas"/>
                <w:color w:val="282828"/>
                <w:sz w:val="18"/>
              </w:rPr>
              <w:t>import numpy as np</w:t>
              <w:br/>
              <w:br/>
              <w:t>class ThompsonSamplingEngine:</w:t>
              <w:br/>
              <w:t xml:space="preserve">    def __init__(self, prices):</w:t>
              <w:br/>
              <w:t xml:space="preserve">        self.prices = np.array(prices)</w:t>
              <w:br/>
              <w:t xml:space="preserve">        self.alpha = np.ones(len(prices))</w:t>
              <w:br/>
              <w:t xml:space="preserve">        self.beta = np.ones(len(prices))</w:t>
              <w:br/>
              <w:br/>
              <w:t xml:space="preserve">    def select_optimal_price(self):</w:t>
              <w:br/>
              <w:t xml:space="preserve">        sampled_theta = np.random.beta(self.alpha, self.beta)</w:t>
              <w:br/>
              <w:t xml:space="preserve">        expected_revenues = sampled_theta * self.prices</w:t>
              <w:br/>
              <w:t xml:space="preserve">        selected_arm = np.argmax(expected_revenues)</w:t>
              <w:br/>
              <w:t xml:space="preserve">        return selected_arm, self.prices[selected_arm]</w:t>
            </w:r>
          </w:p>
        </w:tc>
      </w:tr>
    </w:tbl>
    <w:p>
      <w:pPr>
        <w:spacing w:before="80"/>
      </w:pPr>
    </w:p>
    <w:p>
      <w:pPr>
        <w:keepNext/>
        <w:spacing w:before="280" w:after="80"/>
      </w:pPr>
      <w:r>
        <w:rPr>
          <w:rFonts w:ascii="Calibri" w:hAnsi="Calibri"/>
          <w:b/>
          <w:color w:val="C0392B"/>
          <w:sz w:val="26"/>
        </w:rPr>
        <w:t>4. Simulation Results &amp; Observations</w:t>
      </w:r>
    </w:p>
    <w:p>
      <w:pPr>
        <w:pStyle w:val="ListBullet"/>
        <w:spacing w:before="0" w:after="60" w:line="276" w:lineRule="auto"/>
      </w:pPr>
      <w:r>
        <w:rPr>
          <w:rFonts w:ascii="Calibri" w:hAnsi="Calibri"/>
          <w:b/>
          <w:color w:val="C0392B"/>
          <w:sz w:val="21"/>
        </w:rPr>
        <w:t xml:space="preserve">Convergence Efficiency: </w:t>
      </w:r>
      <w:r>
        <w:rPr>
          <w:rFonts w:ascii="Calibri" w:hAnsi="Calibri"/>
          <w:color w:val="333333"/>
          <w:sz w:val="21"/>
        </w:rPr>
        <w:t>Demonstrated rapid stabilization toward revenue-maximizing price points across test runs [cite: 6].</w:t>
      </w:r>
    </w:p>
    <w:p>
      <w:pPr>
        <w:pStyle w:val="ListBullet"/>
        <w:spacing w:before="0" w:after="60" w:line="276" w:lineRule="auto"/>
      </w:pPr>
      <w:r>
        <w:rPr>
          <w:rFonts w:ascii="Calibri" w:hAnsi="Calibri"/>
          <w:b/>
          <w:color w:val="C0392B"/>
          <w:sz w:val="21"/>
        </w:rPr>
        <w:t xml:space="preserve">Robustness: </w:t>
      </w:r>
      <w:r>
        <w:rPr>
          <w:rFonts w:ascii="Calibri" w:hAnsi="Calibri"/>
          <w:color w:val="333333"/>
          <w:sz w:val="21"/>
        </w:rPr>
        <w:t>Successfully handled simulated conversion variance and environmental shifts [cite: 6].</w:t>
      </w:r>
    </w:p>
    <w:p>
      <w:pPr>
        <w:keepNext/>
        <w:spacing w:before="280" w:after="80"/>
      </w:pPr>
      <w:r>
        <w:rPr>
          <w:rFonts w:ascii="Calibri" w:hAnsi="Calibri"/>
          <w:b/>
          <w:color w:val="C0392B"/>
          <w:sz w:val="26"/>
        </w:rPr>
        <w:t>5. Conclusion</w:t>
      </w:r>
    </w:p>
    <w:p>
      <w:pPr>
        <w:spacing w:before="0" w:after="100" w:line="276" w:lineRule="auto"/>
      </w:pPr>
      <w:r>
        <w:rPr>
          <w:rFonts w:ascii="Calibri" w:hAnsi="Calibri"/>
          <w:color w:val="333333"/>
          <w:sz w:val="21"/>
        </w:rPr>
        <w:t>This component successfully fulfills the Week-2 task requirements, validating the efficacy of Multi-Armed Bandit Thompson Sampling for automated dynamic pricing engines [cite: 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