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0"/>
        </w:rPr>
        <w:t>Business Analytics &amp; Optimization Specification</w:t>
      </w:r>
    </w:p>
    <w:p>
      <w:pPr>
        <w:spacing w:after="80"/>
      </w:pPr>
      <w:r>
        <w:rPr>
          <w:rFonts w:ascii="Calibri" w:hAnsi="Calibri"/>
          <w:b/>
          <w:color w:val="2B6CB0"/>
          <w:sz w:val="30"/>
        </w:rPr>
        <w:t>Multi-Echelon Supply Chain Network Design via MILP</w:t>
      </w:r>
    </w:p>
    <w:p>
      <w:pPr>
        <w:spacing w:after="320"/>
      </w:pPr>
      <w:r>
        <w:rPr>
          <w:rFonts w:ascii="Calibri" w:hAnsi="Calibri"/>
          <w:i/>
          <w:color w:val="718096"/>
          <w:sz w:val="22"/>
        </w:rPr>
        <w:t>WEEK-3 Task Name – BA (Optimization Analysis)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7FAFC"/>
          </w:tcPr>
          <w:p>
            <w:pPr>
              <w:spacing w:after="40"/>
            </w:pPr>
            <w:r>
              <w:rPr>
                <w:b/>
                <w:color w:val="1A365D"/>
              </w:rPr>
              <w:t>Student Name</w:t>
            </w:r>
          </w:p>
        </w:tc>
        <w:tc>
          <w:tcPr>
            <w:tcW w:type="dxa" w:w="6480"/>
            <w:shd w:fill="F7FAFC"/>
          </w:tcPr>
          <w:p>
            <w:pPr>
              <w:spacing w:after="40"/>
            </w:pPr>
            <w:r>
              <w:rPr>
                <w:color w:val="2D3748"/>
              </w:rPr>
              <w:t>Gowri shankar p</w:t>
            </w:r>
          </w:p>
        </w:tc>
      </w:tr>
      <w:tr>
        <w:tc>
          <w:tcPr>
            <w:tcW w:type="dxa" w:w="2880"/>
            <w:shd w:fill="F7FAFC"/>
          </w:tcPr>
          <w:p>
            <w:pPr>
              <w:spacing w:after="40"/>
            </w:pPr>
            <w:r>
              <w:rPr>
                <w:b/>
                <w:color w:val="1A365D"/>
              </w:rPr>
              <w:t>Register Number</w:t>
            </w:r>
          </w:p>
        </w:tc>
        <w:tc>
          <w:tcPr>
            <w:tcW w:type="dxa" w:w="6480"/>
            <w:shd w:fill="F7FAFC"/>
          </w:tcPr>
          <w:p>
            <w:pPr>
              <w:spacing w:after="40"/>
            </w:pPr>
            <w:r>
              <w:rPr>
                <w:color w:val="2D3748"/>
              </w:rPr>
              <w:t>TU6253210211017</w:t>
            </w:r>
          </w:p>
        </w:tc>
      </w:tr>
      <w:tr>
        <w:tc>
          <w:tcPr>
            <w:tcW w:type="dxa" w:w="2880"/>
            <w:shd w:fill="F7FAFC"/>
          </w:tcPr>
          <w:p>
            <w:pPr>
              <w:spacing w:after="40"/>
            </w:pPr>
            <w:r>
              <w:rPr>
                <w:b/>
                <w:color w:val="1A365D"/>
              </w:rPr>
              <w:t>Project Title</w:t>
            </w:r>
          </w:p>
        </w:tc>
        <w:tc>
          <w:tcPr>
            <w:tcW w:type="dxa" w:w="6480"/>
            <w:shd w:fill="F7FAFC"/>
          </w:tcPr>
          <w:p>
            <w:pPr>
              <w:spacing w:after="40"/>
            </w:pPr>
            <w:r>
              <w:rPr>
                <w:color w:val="2D3748"/>
              </w:rPr>
              <w:t>Multi-Echelon Supply Chain Network Design via MILP</w:t>
            </w:r>
          </w:p>
        </w:tc>
      </w:tr>
      <w:tr>
        <w:tc>
          <w:tcPr>
            <w:tcW w:type="dxa" w:w="2880"/>
            <w:shd w:fill="F7FAFC"/>
          </w:tcPr>
          <w:p>
            <w:pPr>
              <w:spacing w:after="40"/>
            </w:pPr>
            <w:r>
              <w:rPr>
                <w:b/>
                <w:color w:val="1A365D"/>
              </w:rPr>
              <w:t>Task Domain</w:t>
            </w:r>
          </w:p>
        </w:tc>
        <w:tc>
          <w:tcPr>
            <w:tcW w:type="dxa" w:w="6480"/>
            <w:shd w:fill="F7FAFC"/>
          </w:tcPr>
          <w:p>
            <w:pPr>
              <w:spacing w:after="40"/>
            </w:pPr>
            <w:r>
              <w:rPr>
                <w:color w:val="2D3748"/>
              </w:rPr>
              <w:t>Business Analytics (Optimization Modeling)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26"/>
        </w:rPr>
        <w:t>1. System Context &amp; Optimization Goals</w:t>
      </w:r>
    </w:p>
    <w:p>
      <w:r>
        <w:t>The goal of this optimization model is to construct a rigorous MILP constraint matrix that models global supply chain interactions across three echelons: manufacturing sites, central distribution networks, and regional market zones. The model balances transport tariffs, facility activation costs, and service constraints to achieve cost minimization.</w:t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26"/>
        </w:rPr>
        <w:t>2. Network Variables &amp; Subscripts</w:t>
      </w:r>
    </w:p>
    <w:p>
      <w:r>
        <w:t>Network Node Sets:</w:t>
      </w:r>
    </w:p>
    <w:p>
      <w:r>
        <w:t>• Supply Sources: s ∈ S</w:t>
      </w:r>
    </w:p>
    <w:p>
      <w:r>
        <w:t>• Distribution Centers (DC): w ∈ W</w:t>
      </w:r>
    </w:p>
    <w:p>
      <w:r>
        <w:t>• Demand Points: c ∈ C</w:t>
      </w:r>
    </w:p>
    <w:p>
      <w:r>
        <w:t>Optimization Variables:</w:t>
      </w:r>
    </w:p>
    <w:p>
      <w:r>
        <w:t>• v_sw: Units shipped from source s to DC w</w:t>
      </w:r>
    </w:p>
    <w:p>
      <w:r>
        <w:t>• w_wc: Units shipped from DC w to demand point c</w:t>
      </w:r>
    </w:p>
    <w:p>
      <w:r>
        <w:t>• u_w ∈ {0, 1}: Binary status of DC w (1 = Open, 0 = Closed)</w:t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26"/>
        </w:rPr>
        <w:t>3. Optimization Cost Function</w:t>
      </w:r>
    </w:p>
    <w:p>
      <w:r>
        <w:t>Minimize Z = ∑ α_sw * v_sw + ∑ β_wc * w_wc + ∑ F_w * u_w</w:t>
      </w:r>
    </w:p>
    <w:p>
      <w:pPr>
        <w:keepNext/>
        <w:spacing w:before="280" w:after="80"/>
      </w:pPr>
      <w:r>
        <w:rPr>
          <w:rFonts w:ascii="Calibri" w:hAnsi="Calibri"/>
          <w:b/>
          <w:color w:val="1A365D"/>
          <w:sz w:val="26"/>
        </w:rPr>
        <w:t>4. Linear Programming Matrix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A365D"/>
          </w:tcPr>
          <w:p>
            <w:pPr>
              <w:spacing w:after="80" w:before="80"/>
            </w:pPr>
            <w:r>
              <w:rPr>
                <w:b/>
                <w:color w:val="FFFFFF"/>
              </w:rPr>
              <w:t>Constraint ID / Name</w:t>
            </w:r>
          </w:p>
        </w:tc>
        <w:tc>
          <w:tcPr>
            <w:tcW w:type="dxa" w:w="3168"/>
            <w:shd w:fill="1A365D"/>
          </w:tcPr>
          <w:p>
            <w:pPr>
              <w:spacing w:after="80" w:before="80"/>
            </w:pPr>
            <w:r>
              <w:rPr>
                <w:b/>
                <w:color w:val="FFFFFF"/>
              </w:rPr>
              <w:t>Mathematical Formulation</w:t>
            </w:r>
          </w:p>
        </w:tc>
        <w:tc>
          <w:tcPr>
            <w:tcW w:type="dxa" w:w="3600"/>
            <w:shd w:fill="1A365D"/>
          </w:tcPr>
          <w:p>
            <w:pPr>
              <w:spacing w:after="80" w:before="80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592"/>
            <w:shd w:fill="F7FAFC"/>
          </w:tcPr>
          <w:p>
            <w:pPr>
              <w:spacing w:after="60" w:before="60"/>
            </w:pPr>
            <w:r>
              <w:rPr>
                <w:b/>
              </w:rPr>
              <w:t>LP-SEC-1</w:t>
            </w:r>
          </w:p>
        </w:tc>
        <w:tc>
          <w:tcPr>
            <w:tcW w:type="dxa" w:w="3168"/>
            <w:shd w:fill="F7FAFC"/>
          </w:tcPr>
          <w:p>
            <w:pPr>
              <w:spacing w:after="60" w:before="60"/>
            </w:pPr>
            <w:r>
              <w:t>∑ v_sw ≤ MaxProd_s, ∀s ∈ S</w:t>
            </w:r>
          </w:p>
        </w:tc>
        <w:tc>
          <w:tcPr>
            <w:tcW w:type="dxa" w:w="3600"/>
            <w:shd w:fill="F7FAFC"/>
          </w:tcPr>
          <w:p>
            <w:pPr>
              <w:spacing w:after="60" w:before="60"/>
            </w:pPr>
            <w:r>
              <w:t>Restricts supply source output to physical maximums.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60" w:before="60"/>
            </w:pPr>
            <w:r>
              <w:rPr>
                <w:b/>
              </w:rPr>
              <w:t>LP-SEC-2</w:t>
            </w:r>
          </w:p>
        </w:tc>
        <w:tc>
          <w:tcPr>
            <w:tcW w:type="dxa" w:w="3168"/>
            <w:shd w:fill="FFFFFF"/>
          </w:tcPr>
          <w:p>
            <w:pPr>
              <w:spacing w:after="60" w:before="60"/>
            </w:pPr>
            <w:r>
              <w:t>∑ v_sw = ∑ w_wc, ∀w ∈ W</w:t>
            </w:r>
          </w:p>
        </w:tc>
        <w:tc>
          <w:tcPr>
            <w:tcW w:type="dxa" w:w="3600"/>
            <w:shd w:fill="FFFFFF"/>
          </w:tcPr>
          <w:p>
            <w:pPr>
              <w:spacing w:after="60" w:before="60"/>
            </w:pPr>
            <w:r>
              <w:t>Ensures node mass balance across intermediate warehouses.</w:t>
            </w:r>
          </w:p>
        </w:tc>
      </w:tr>
      <w:tr>
        <w:tc>
          <w:tcPr>
            <w:tcW w:type="dxa" w:w="2592"/>
            <w:shd w:fill="F7FAFC"/>
          </w:tcPr>
          <w:p>
            <w:pPr>
              <w:spacing w:after="60" w:before="60"/>
            </w:pPr>
            <w:r>
              <w:rPr>
                <w:b/>
              </w:rPr>
              <w:t>LP-SEC-3</w:t>
            </w:r>
          </w:p>
        </w:tc>
        <w:tc>
          <w:tcPr>
            <w:tcW w:type="dxa" w:w="3168"/>
            <w:shd w:fill="F7FAFC"/>
          </w:tcPr>
          <w:p>
            <w:pPr>
              <w:spacing w:after="60" w:before="60"/>
            </w:pPr>
            <w:r>
              <w:t>∑ v_sw ≤ MaxCap_w * u_w, ∀w ∈ W</w:t>
            </w:r>
          </w:p>
        </w:tc>
        <w:tc>
          <w:tcPr>
            <w:tcW w:type="dxa" w:w="3600"/>
            <w:shd w:fill="F7FAFC"/>
          </w:tcPr>
          <w:p>
            <w:pPr>
              <w:spacing w:after="60" w:before="60"/>
            </w:pPr>
            <w:r>
              <w:t>Restricts throughput based on DC opening status.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60" w:before="60"/>
            </w:pPr>
            <w:r>
              <w:rPr>
                <w:b/>
              </w:rPr>
              <w:t>LP-SEC-4</w:t>
            </w:r>
          </w:p>
        </w:tc>
        <w:tc>
          <w:tcPr>
            <w:tcW w:type="dxa" w:w="3168"/>
            <w:shd w:fill="FFFFFF"/>
          </w:tcPr>
          <w:p>
            <w:pPr>
              <w:spacing w:after="60" w:before="60"/>
            </w:pPr>
            <w:r>
              <w:t>∑ w_wc ≥ Demand_c, ∀c ∈ C</w:t>
            </w:r>
          </w:p>
        </w:tc>
        <w:tc>
          <w:tcPr>
            <w:tcW w:type="dxa" w:w="3600"/>
            <w:shd w:fill="FFFFFF"/>
          </w:tcPr>
          <w:p>
            <w:pPr>
              <w:spacing w:after="60" w:before="60"/>
            </w:pPr>
            <w:r>
              <w:t>Guarantees complete customer order fulfillment.</w:t>
            </w:r>
          </w:p>
        </w:tc>
      </w:tr>
      <w:tr>
        <w:tc>
          <w:tcPr>
            <w:tcW w:type="dxa" w:w="2592"/>
            <w:shd w:fill="F7FAFC"/>
          </w:tcPr>
          <w:p>
            <w:pPr>
              <w:spacing w:after="60" w:before="60"/>
            </w:pPr>
            <w:r>
              <w:rPr>
                <w:b/>
              </w:rPr>
              <w:t>LP-SEC-5</w:t>
            </w:r>
          </w:p>
        </w:tc>
        <w:tc>
          <w:tcPr>
            <w:tcW w:type="dxa" w:w="3168"/>
            <w:shd w:fill="F7FAFC"/>
          </w:tcPr>
          <w:p>
            <w:pPr>
              <w:spacing w:after="60" w:before="60"/>
            </w:pPr>
            <w:r>
              <w:t>∑ w_wc ≥ α * Demand_c, ∀c ∈ C</w:t>
            </w:r>
          </w:p>
        </w:tc>
        <w:tc>
          <w:tcPr>
            <w:tcW w:type="dxa" w:w="3600"/>
            <w:shd w:fill="F7FAFC"/>
          </w:tcPr>
          <w:p>
            <w:pPr>
              <w:spacing w:after="60" w:before="60"/>
            </w:pPr>
            <w:r>
              <w:t>Enforces service level bounds (α%) for priority zones.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A365D"/>
          <w:sz w:val="26"/>
        </w:rPr>
        <w:t>5. Conclusion &amp; Operational Impact</w:t>
      </w:r>
    </w:p>
    <w:p>
      <w:r>
        <w:t>The MILP model formulated in this document provides a rigorous optimization framework for supply chain design. By balancing multi-echelon transportation tariffs, fixed facility investments, and service level constraints, the model ensures minimal operating expenditures while guaranteeing required customer demand coverage.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